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Estimaciones de costes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0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26/10/2022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8"/>
          <w:szCs w:val="28"/>
        </w:rPr>
        <w:sectPr>
          <w:head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Estimación de costes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270"/>
        <w:gridCol w:w="2415"/>
        <w:tblGridChange w:id="0">
          <w:tblGrid>
            <w:gridCol w:w="990"/>
            <w:gridCol w:w="327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humanos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18€/h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15€/h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Alquiler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800€/mes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1400€ unidad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580"/>
        <w:gridCol w:w="960"/>
        <w:gridCol w:w="1455"/>
        <w:gridCol w:w="1125"/>
        <w:gridCol w:w="2355"/>
        <w:gridCol w:w="2745"/>
        <w:gridCol w:w="1485"/>
        <w:tblGridChange w:id="0">
          <w:tblGrid>
            <w:gridCol w:w="720"/>
            <w:gridCol w:w="2580"/>
            <w:gridCol w:w="960"/>
            <w:gridCol w:w="1455"/>
            <w:gridCol w:w="1125"/>
            <w:gridCol w:w="2355"/>
            <w:gridCol w:w="274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o paquete de trabajo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ID.Rec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coste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estimado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 y restricciones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confianza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Alquiler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800€/mes*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mes=800€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16,40€/mes * 1 mes * 5 usuarios = 82€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1400€*5 unidades= 7000€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hace un contrato externo de personal se utilizará los mismos equipos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las 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17h*18€/h = 306€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24h*18€/h = 432€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26h*18€/h = 468€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Adquisiciones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21h*18€/h = 378€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24h*18€/h = 432€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26h*18€/h = 468€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del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51h*18€/h = 918€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Costes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36h*18€/h = 648€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Dirección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71h*18€/h = 1278€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Alquiler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800€/mes*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mes=800€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16,40€/mes * 1 mes * 5 usuarios = 82€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32h*15€/h=480€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asignación de estas horas puede variar debido a riesgos en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27h*18€/h=486€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19h*18€/h=342€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Reuniones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15h*15€/h=225€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32h*15€/h=480€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asignación de estas horas puede variar debido a riesgos en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27h*18€/h=486€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19h*18€/h=342€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Reuniones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15h*15€/h=225€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32h*15€/h=480€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asignación de estas horas puede variar debido a riesgos en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27h*18€/h=486€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19h*18€/h=342€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Reuniones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15h*15€/h=225€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4h*18€/h=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Alquiler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800€/mes*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mes=800€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16,40€/mes * 1 mes * 5 usuarios = 82€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Fiable</w:t>
            </w:r>
          </w:p>
        </w:tc>
      </w:tr>
    </w:tbl>
    <w:p w:rsidR="00000000" w:rsidDel="00000000" w:rsidP="00000000" w:rsidRDefault="00000000" w:rsidRPr="00000000" w14:paraId="00000136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heading=h.br6l12ppho9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Fase de planificación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 ha estimado la cantidad de horas(sumadas las horas paralelas de los trabajadores, es decir, si hay 5 trabajadores que trabajan una hora, son 5 horas de trabajo) para cada paquete de trabajo mediante la estimación ascendente.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Planificación 296 horas por el equipo director (RH-01): 296 h*18€/h= 5328€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fijos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Alquiler de oficinas: 800€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Equipos de trabajo: 7000€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Servicios software: 82€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Total: 7.882€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 de contingencia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En el plan de gestión de costes se ha declarado que se destinará un 2% del presupuesto destinado a recursos humanos para su propia reserva de contingencias. Por lo tanto, para esta fase corresponde lo siguiente: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Reserva de contingencia: 5328€*0,02 = 106,56≈110€.</w:t>
          </w:r>
        </w:sdtContent>
      </w:sdt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Para los gastos fijos no hay reserva de contingencia ya que son fiables y determinados.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Total Fase:</w:t>
      </w:r>
      <w:r w:rsidDel="00000000" w:rsidR="00000000" w:rsidRPr="00000000">
        <w:rPr>
          <w:rtl w:val="0"/>
        </w:rPr>
        <w:t xml:space="preserve"> Costes fijos + Costes variables= 13.210€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Total Fase + Reserva:</w:t>
      </w:r>
      <w:r w:rsidDel="00000000" w:rsidR="00000000" w:rsidRPr="00000000">
        <w:rPr>
          <w:rtl w:val="0"/>
        </w:rPr>
        <w:t xml:space="preserve"> Costes fijos + Costes variables + Reserva de contingencia = 13.320€</w:t>
      </w:r>
    </w:p>
    <w:p w:rsidR="00000000" w:rsidDel="00000000" w:rsidP="00000000" w:rsidRDefault="00000000" w:rsidRPr="00000000" w14:paraId="0000014A">
      <w:pPr>
        <w:pStyle w:val="Heading1"/>
        <w:rPr>
          <w:b w:val="1"/>
          <w:sz w:val="28"/>
          <w:szCs w:val="28"/>
        </w:rPr>
      </w:pPr>
      <w:bookmarkStart w:colFirst="0" w:colLast="0" w:name="_heading=h.w5kbskj3b1g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Fase de implementación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Coste por Sprint: 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Planificación 46 horas por el equipo director (RH-01): 46h*18€/h= 828€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Planificación 47 horas por el equipo de desarrollo(RH-03): 47h*15€/h= 705€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Total Sprint: 1533€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Total 3 sprints: 3*1533€ = 4599€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fijos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Alquiler de oficinas: 800€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Servicios software: 82€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Total: 882€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 de contingencia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En el plan de gestión de costes se ha declarado que se destinará un 2% del presupuesto destinado a recursos humanos para su propia reserva de contingencias. Por lo tanto, para esta fase corresponde lo siguiente: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Reserva de contingencia: 4599€*0,02 = 91.98≈100€.</w:t>
          </w:r>
        </w:sdtContent>
      </w:sdt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Para los gastos fijos no hay reserva de contingencia ya que son fiables y determinados.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Total Fase:</w:t>
      </w:r>
      <w:r w:rsidDel="00000000" w:rsidR="00000000" w:rsidRPr="00000000">
        <w:rPr>
          <w:rtl w:val="0"/>
        </w:rPr>
        <w:t xml:space="preserve"> Costes fijos + Costes variables= 5.481€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Total Fase + Reserva:</w:t>
      </w:r>
      <w:r w:rsidDel="00000000" w:rsidR="00000000" w:rsidRPr="00000000">
        <w:rPr>
          <w:rtl w:val="0"/>
        </w:rPr>
        <w:t xml:space="preserve"> Costes fijos + Costes variables + Reserva de contingencia = 5.581€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heading=h.y5zv1dsermt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Fase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Planificación 4 horas por el equipo director (RH-01): 4h *18€/h= 72€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fijos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Alquiler de oficinas: 800€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Servicios software: 82€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Total: 882€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Total Fase:</w:t>
      </w:r>
      <w:r w:rsidDel="00000000" w:rsidR="00000000" w:rsidRPr="00000000">
        <w:rPr>
          <w:rtl w:val="0"/>
        </w:rPr>
        <w:t xml:space="preserve"> Costes fijos + Costes variables= 954€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>
          <w:b w:val="1"/>
          <w:sz w:val="28"/>
          <w:szCs w:val="28"/>
        </w:rPr>
      </w:pPr>
      <w:bookmarkStart w:colFirst="0" w:colLast="0" w:name="_heading=h.vrqythhh016t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Método de estimación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El método de estimación utilizado para cada paquete de trabajo ha sido la estimación ascendente. Para ello se ha estimado individualmente cada actividad del proyecto y posteriormente se ha estimado a nivel de paquete de trabajo sumando las actividades que componen cada paquete.</w:t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El grado de confianza de cada coste vendrá dado por 2 categorías, fiable o no fiable, dependiendo de la variabilidad que pueda tener ese coste en el futuro.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b9lIG17daDqIbnpIK9yuMrK7mg==">AMUW2mWf7wlaUyLLIisQJ91lpNKKseUCkMtLH8LzY8sl636BfZMKUTVX8AW9o6aZKEJxSCupLKBeiRBhj+k3H3OrT/oA3yzy5ImexeFaIJAqBThLMG80fs9uVkhmEVlFueldKvsZtSvKSJAM/d4vpmMh+s3VwcsLTAGTyKZ0zFKxxoT/O5a1CXYa3n/oSznULxjHeP62uI7JJE6M8bi2qNtsPZAJIQIrOsoNBtkZSLOxbZZB20pFUU0A5RG2hVU1K/JawAV7zFbFz+TTRNAPOdW7Mj6kKpIf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