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Registro de Incidencias</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rFonts w:ascii="Arial Narrow" w:cs="Arial Narrow" w:eastAsia="Arial Narrow" w:hAnsi="Arial Narrow"/>
        </w:rPr>
      </w:pPr>
      <w:r w:rsidDel="00000000" w:rsidR="00000000" w:rsidRPr="00000000">
        <w:rPr>
          <w:rtl w:val="0"/>
        </w:rPr>
        <w:t xml:space="preserve">Fecha : 21/11/2022</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18/11/2022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both"/>
              <w:rPr/>
            </w:pPr>
            <w:r w:rsidDel="00000000" w:rsidR="00000000" w:rsidRPr="00000000">
              <w:rPr>
                <w:rtl w:val="0"/>
              </w:rPr>
              <w:t xml:space="preserve">28/11/2022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pPr>
            <w:r w:rsidDel="00000000" w:rsidR="00000000" w:rsidRPr="00000000">
              <w:rPr>
                <w:rtl w:val="0"/>
              </w:rPr>
              <w:t xml:space="preserve">Realización del documento.</w:t>
            </w:r>
          </w:p>
        </w:tc>
      </w:tr>
    </w:tbl>
    <w:p w:rsidR="00000000" w:rsidDel="00000000" w:rsidP="00000000" w:rsidRDefault="00000000" w:rsidRPr="00000000" w14:paraId="0000002E">
      <w:pPr>
        <w:spacing w:line="276" w:lineRule="auto"/>
        <w:jc w:val="righ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14415.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995"/>
        <w:gridCol w:w="3765"/>
        <w:gridCol w:w="1890"/>
        <w:gridCol w:w="5970"/>
        <w:tblGridChange w:id="0">
          <w:tblGrid>
            <w:gridCol w:w="795"/>
            <w:gridCol w:w="1995"/>
            <w:gridCol w:w="3765"/>
            <w:gridCol w:w="1890"/>
            <w:gridCol w:w="5970"/>
          </w:tblGrid>
        </w:tblGridChange>
      </w:tblGrid>
      <w:tr>
        <w:trPr>
          <w:cantSplit w:val="0"/>
          <w:trHeight w:val="212.67578124999986"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ID</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Descripción de la incidencia</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Prioridad</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Impacto en los objetivos</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Cambios en la asignación de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56.8" w:lineRule="auto"/>
              <w:jc w:val="center"/>
              <w:rPr>
                <w:rFonts w:ascii="Calibri" w:cs="Calibri" w:eastAsia="Calibri" w:hAnsi="Calibri"/>
              </w:rPr>
            </w:pPr>
            <w:r w:rsidDel="00000000" w:rsidR="00000000" w:rsidRPr="00000000">
              <w:rPr>
                <w:rFonts w:ascii="Calibri" w:cs="Calibri" w:eastAsia="Calibri" w:hAnsi="Calibri"/>
                <w:rtl w:val="0"/>
              </w:rPr>
              <w:t xml:space="preserve">Se han realizado cambios en las asignaciones iniciales de las tareas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Esta incidencia, si se mantiene durante el desarrollo, puede provocar confusiones en los miembros del equipo de desarrollo que desconocen cuáles tareas deben realizar o no.</w:t>
            </w:r>
          </w:p>
        </w:tc>
      </w:tr>
    </w:tbl>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tbl>
      <w:tblPr>
        <w:tblStyle w:val="Table4"/>
        <w:tblW w:w="14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85"/>
        <w:gridCol w:w="2505"/>
        <w:gridCol w:w="8370"/>
        <w:tblGridChange w:id="0">
          <w:tblGrid>
            <w:gridCol w:w="1755"/>
            <w:gridCol w:w="1485"/>
            <w:gridCol w:w="2505"/>
            <w:gridCol w:w="8370"/>
          </w:tblGrid>
        </w:tblGridChange>
      </w:tblGrid>
      <w:tr>
        <w:trPr>
          <w:cantSplit w:val="0"/>
          <w:trHeight w:val="977.6757812499999"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Responsable</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Estado</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Fecha de registro</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Resolución final</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Equipo director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256.8" w:lineRule="auto"/>
              <w:jc w:val="center"/>
              <w:rPr>
                <w:rFonts w:ascii="Calibri" w:cs="Calibri" w:eastAsia="Calibri" w:hAnsi="Calibri"/>
              </w:rPr>
            </w:pPr>
            <w:r w:rsidDel="00000000" w:rsidR="00000000" w:rsidRPr="00000000">
              <w:rPr>
                <w:rFonts w:ascii="Calibri" w:cs="Calibri" w:eastAsia="Calibri" w:hAnsi="Calibri"/>
                <w:rtl w:val="0"/>
              </w:rPr>
              <w:t xml:space="preserve">Cerrado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22/11/2021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Se ha decidido que, salvo caso excepcional, no se moverá la planificación inicial que se haga de la tareas para no causar confusión al equipo de desarrollo. Si una tarea tuviera que cambiarse de asignación se procederá a realizar una reunión con el equipo de desarrollo en donde se informará de dicho cambio y se mostrará a los miembros cuáles son sus nuevas tareas de forma clara y concisa.</w:t>
            </w:r>
          </w:p>
        </w:tc>
      </w:tr>
    </w:tbl>
    <w:p w:rsidR="00000000" w:rsidDel="00000000" w:rsidP="00000000" w:rsidRDefault="00000000" w:rsidRPr="00000000" w14:paraId="00000073">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