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Retrospectiva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jc w:val="right"/>
        <w:rPr>
          <w:rFonts w:ascii="Arial Narrow" w:cs="Arial Narrow" w:eastAsia="Arial Narrow" w:hAnsi="Arial Narrow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Fecha : 28/11/2022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Empezar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tiempos a Clockify en el momento que se termina una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Cumplir con los plazos de los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de forma diaria el tablero Scrum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Cambios de asignaciones de tareas durante el desarrollo</w:t>
            </w:r>
          </w:p>
        </w:tc>
      </w:tr>
      <w:tr>
        <w:trPr>
          <w:cantSplit w:val="0"/>
          <w:trHeight w:val="113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Comprobar que todas los requisitos funcionan antes de implementarse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 constante por mensajería directa, para conocer el estado de las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constante durante 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Z6O2+VDNQW+5qEh/dx9qvGoiTA==">AMUW2mXfGZQ7pyiGWTInk+pMhXw0+SQIhuIxSc2A9RAnQFUQ+/S/y0O5cCikZ5Oc4xZKu0rD4YUEbWSBXeohgn3Sj4urI/wL33z91CmrnXg9Q3UcQrfItuo=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2022-09-27T07:10:00Z</dcterms:created>
</cp:coreProperties>
</file>