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del cambio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7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proyecto:</w:t>
            </w:r>
            <w:r w:rsidDel="00000000" w:rsidR="00000000" w:rsidRPr="00000000">
              <w:rPr>
                <w:rtl w:val="0"/>
              </w:rPr>
              <w:t xml:space="preserve"> Desarrollo de una aplicación web de ventas para Acme Concerts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Patrocinador:</w:t>
            </w:r>
            <w:r w:rsidDel="00000000" w:rsidR="00000000" w:rsidRPr="00000000">
              <w:rPr>
                <w:rtl w:val="0"/>
              </w:rPr>
              <w:t xml:space="preserve"> José González Enríquez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  <w:r w:rsidDel="00000000" w:rsidR="00000000" w:rsidRPr="00000000">
              <w:rPr>
                <w:rtl w:val="0"/>
              </w:rPr>
              <w:t xml:space="preserve"> 26/09/2022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del proyecto:</w:t>
            </w:r>
            <w:r w:rsidDel="00000000" w:rsidR="00000000" w:rsidRPr="00000000">
              <w:rPr>
                <w:rtl w:val="0"/>
              </w:rPr>
              <w:t xml:space="preserve"> Grupo 2.8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  <w:r w:rsidDel="00000000" w:rsidR="00000000" w:rsidRPr="00000000">
              <w:rPr>
                <w:rtl w:val="0"/>
              </w:rPr>
              <w:t xml:space="preserve"> Acme Concerts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 del proyecto:</w:t>
            </w:r>
            <w:r w:rsidDel="00000000" w:rsidR="00000000" w:rsidRPr="00000000">
              <w:rPr>
                <w:rtl w:val="0"/>
              </w:rPr>
              <w:t xml:space="preserve"> Crear una plataforma de compra de entradas personalizadas de conciertos.</w:t>
            </w:r>
          </w:p>
        </w:tc>
      </w:tr>
    </w:tbl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categorías de cambio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Cambio de fecha/horarios: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desarrollo del proyecto ha llevado más tiempo del esperado, produciendo así un retraso en el periodo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Cambios en el presupuesto: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desarrollo requiere más costes de los previsto, necesitando una mayor cantidad de dinero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Cambios en el alcance del proyecto: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requieren nuevas funcionalidades que no estaban previstas en el momento de la planificación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Cambios en los documentos del proyecto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documentos presentados al cliente necesitan de modificaciones para ser corregidos o actualizados. </w:t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Mecanismo de aprobación</w:t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En caso de tener que realizarse cambios durante el proceso de desarrollo del proyecto se realizarán los siguientes pasos: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Reunión entre el equipo de desarrollo del proyecto y el equipo de dirección del proyecto.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establecerán los cambios a realizar.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realizará un análisis de impacto de estos cambios en términos de plazos, costes y calidad.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ambos equipos están de acuerdo con los cambios, se harán efectivos.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 de control de cambios (change control board)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995"/>
        <w:gridCol w:w="2565"/>
        <w:gridCol w:w="1695"/>
        <w:tblGridChange w:id="0">
          <w:tblGrid>
            <w:gridCol w:w="2670"/>
            <w:gridCol w:w="1995"/>
            <w:gridCol w:w="256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Gonzalo Martínez Martínez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Alvaro Vazquez Ortiz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Manuel Navarro Sicre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Pedro Parrilla Bascón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Francisco Javier de la Prada 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Jefes del equipo de 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al equipo de dirección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Gonzalo Martínez Martínez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Alvaro Vazquez Ortiz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Navarro Sicre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Parrilla Bascón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Javier de la Prada 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Jefes del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al equipo de desarrollo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9B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de solicitud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dos equipos (de dirección o de desarrollo) informa al equipo correspondiente del cambio que quiere realizar, mediante una solicitud de cambio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la solicitud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seguimiento se realizará mediante Google Drive, donde estará colgada dicha solicitud de cambio (ver plantilla anexo)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la solicitud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realizará una reunión, presencial o telemática, entre los equipos de desarrollo y dirección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 de la solicitud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colgará en Google Drive la resolución final de la solicitud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cambios aprobados (Change control process)</w:t>
      </w:r>
    </w:p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Resolución de cambio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 marcará la solicitud de cambio como aceptada y se guardará en una carpeta en Google Drive.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 carpeta, dispondrá de 3 subcarpetas (“Pendiente de revisión”, “En proceso” y “Completadas”), por lo que la solicitud se guardará en la subcarpeta “En proceso” que nos indica que el cambio aceptado está en proceso de ser aplicado al proyecto.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Análisis de impacto en el proyecto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revisará el presupuesto y plazos del proyecto con el fin de modificarlos para ajustarse al nuevo requisito introducido y a la nueva realidad del proyecto. 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Asimismo, se procederá a revisar el alcance del proyecto y modificar los documentos que fuesen necesarios de forma que este nuevo requisito quede documentado para la entrega final del producto.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Continuación del proyecto</w:t>
      </w:r>
    </w:p>
    <w:p w:rsidR="00000000" w:rsidDel="00000000" w:rsidP="00000000" w:rsidRDefault="00000000" w:rsidRPr="00000000" w14:paraId="000000BB">
      <w:pPr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 continuará con el proyecto, teniendo en cuenta los cambios introducidos en los requisitos, costes y planificación del mismo</w:t>
      </w:r>
    </w:p>
    <w:p w:rsidR="00000000" w:rsidDel="00000000" w:rsidP="00000000" w:rsidRDefault="00000000" w:rsidRPr="00000000" w14:paraId="000000BD">
      <w:pPr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cambios no aprobados (se puede parecer al anterior)</w:t>
      </w:r>
    </w:p>
    <w:p w:rsidR="00000000" w:rsidDel="00000000" w:rsidP="00000000" w:rsidRDefault="00000000" w:rsidRPr="00000000" w14:paraId="000000C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Resolución de cambio</w:t>
      </w:r>
    </w:p>
    <w:p w:rsidR="00000000" w:rsidDel="00000000" w:rsidP="00000000" w:rsidRDefault="00000000" w:rsidRPr="00000000" w14:paraId="000000C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 marcará la solicitud de cambio como denegada y se guardará en una carpeta con otras solicitudes rechazadas.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Continuación del proyecto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Se continuará con el proyecto tal y como se había planificado con anterioridad.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de solicitud de cambio</w:t>
      </w:r>
    </w:p>
    <w:p w:rsidR="00000000" w:rsidDel="00000000" w:rsidP="00000000" w:rsidRDefault="00000000" w:rsidRPr="00000000" w14:paraId="000000C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Ver documento anexo “Plantilla de solicitud de cambio”.</w:t>
      </w:r>
    </w:p>
    <w:p w:rsidR="00000000" w:rsidDel="00000000" w:rsidP="00000000" w:rsidRDefault="00000000" w:rsidRPr="00000000" w14:paraId="000000C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2XmaGWbuv8sthDpt9Em0a/3Mw==">AMUW2mVFP51COIlY9OAiIxCnL+Y7qRGNVT2ehVsO/nM05m+5HDKk6MhY1wXtJvzUJnAiwxCp9tmiynDJA7eNnxMNPgoDEGx5CbbEeFQHMqzhQ4BsMbSz61Y=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