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UNIVERSIDAD MAYOR DE SAN SIMÓN</w:t>
      </w:r>
    </w:p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Facultad de Ciencias y Tecnología · Dirección de Posgrado</w:t>
      </w:r>
    </w:p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Maestría en Desarrollo de Productos de Software con Inteligencia Artificial</w:t>
      </w:r>
    </w:p>
    <w:p/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DOCUMENTO FINAL DE PRESENTACIÓN</w:t>
      </w:r>
    </w:p>
    <w:p/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ACTIVA360</w:t>
      </w:r>
    </w:p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*Gestión Inteligente, Trazabilidad Resiliente y Auditoría SABS de Activos Fijos para la UMSS*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Equipo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Grupo Activos Fijos UMSS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Integrantes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Josefina Rojas&lt;br&gt;Rita Nina&lt;br&gt;Guillermo Daza Alcalá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Módulo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M6 — Integración de IA en Productos de Software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Docente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M.Sc. Luis Marcelo Garay Choqueribe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Repositorio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https://github.com/ActFijos/Activa360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21/08/2026</w:t>
            </w:r>
          </w:p>
        </w:tc>
      </w:tr>
    </w:tbl>
    <w:p/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/>
    <w:p>
      <w:pPr>
        <w:pStyle w:val="Heading2"/>
        <w:spacing w:after="80" w:before="180"/>
      </w:pPr>
      <w:r>
        <w:t xml:space="preserve">Índice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Resumen ejecutivo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problema y el producto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Inteligencia artificial aplicada al proyecto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Arquitectura de la solución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Herramientas y niveles de integración implementados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Orquestación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Evidencias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Conclusiones y trabajo futuro</w:t>
            </w:r>
          </w:p>
        </w:tc>
      </w:tr>
    </w:tbl>
    <w:p/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/>
    <w:p>
      <w:pPr>
        <w:pStyle w:val="Heading2"/>
        <w:spacing w:after="80" w:before="180"/>
      </w:pPr>
      <w:r>
        <w:t xml:space="preserve">1 · Resumen ejecutivo</w:t>
      </w:r>
    </w:p>
    <w:p/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Resumen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Activa360 resuelve el descontrol administrativo en la localización y auditoría legal de activos fijos de la Universidad Mayor de San Simón (UMSS), automatizando el escaneo mediante códigos QR e incorporando resiliencia offline para áreas rurales. La inteligencia artificial del sistema actúa en la interfaz de ayuda como un Agente de Asistencia Avanzada que expone herramientas transaccionales seguras y realiza búsquedas semánticas (RAG) sobre el manual del SCAF. Se alcanzó el Nivel 4 (Agente + MCP) mediante un servidor MCP stdio que consulta de forma segura la base de datos PostgreSQL y la base vectorial local de Chroma DB. Actualmente, el sistema está 100% operativo en consultas, reportes de estadísticas de inventario, auditoría de bajas SABS y búsquedas de soporte, quedando pendiente la integración de operaciones de escritura desde el chat.</w:t>
      </w:r>
    </w:p>
    <w:p/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Dato duro:</w:t>
      </w:r>
      <w:r>
        <w:rPr>
          <w:rFonts w:ascii="Arial" w:cs="Arial" w:eastAsia="Arial" w:hAnsi="Arial"/>
          <w:sz w:val="22"/>
          <w:szCs w:val="22"/>
        </w:rPr>
        <w:t xml:space="preserve"> 5 herramientas MCP publicadas, 8 secciones de manual indexadas en Chroma DB, latencia promedio offline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0.45 ms</w:t>
      </w:r>
      <w:r>
        <w:rPr>
          <w:rFonts w:ascii="Arial" w:cs="Arial" w:eastAsia="Arial" w:hAnsi="Arial"/>
          <w:sz w:val="22"/>
          <w:szCs w:val="22"/>
        </w:rPr>
        <w:t xml:space="preserve"> y costo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$0.00 por consulta</w:t>
      </w:r>
      <w:r>
        <w:rPr>
          <w:rFonts w:ascii="Arial" w:cs="Arial" w:eastAsia="Arial" w:hAnsi="Arial"/>
          <w:sz w:val="22"/>
          <w:szCs w:val="22"/>
        </w:rPr>
        <w:t xml:space="preserve"> usando el fallback local.</w:t>
      </w:r>
    </w:p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/>
    <w:p>
      <w:pPr>
        <w:pStyle w:val="Heading2"/>
        <w:spacing w:after="80" w:before="180"/>
      </w:pPr>
      <w:r>
        <w:t xml:space="preserve">2 · El problema y el producto</w:t>
      </w:r>
    </w:p>
    <w:p/>
    <w:p>
      <w:pPr>
        <w:pStyle w:val="Heading3"/>
        <w:spacing w:after="60" w:before="150"/>
      </w:pPr>
      <w:r>
        <w:t xml:space="preserve">2.1 · El Problema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control de activos fijos en las universidades públicas de Bolivia (como la UMSS) sufre de un descalce del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32%</w:t>
      </w:r>
      <w:r>
        <w:rPr>
          <w:rFonts w:ascii="Arial" w:cs="Arial" w:eastAsia="Arial" w:hAnsi="Arial"/>
          <w:sz w:val="22"/>
          <w:szCs w:val="22"/>
        </w:rPr>
        <w:t xml:space="preserve"> entre el inventario físico y los registros contables centrales. Esto genera ineficiencias de localización (promedio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45 minutos</w:t>
      </w:r>
      <w:r>
        <w:rPr>
          <w:rFonts w:ascii="Arial" w:cs="Arial" w:eastAsia="Arial" w:hAnsi="Arial"/>
          <w:sz w:val="22"/>
          <w:szCs w:val="22"/>
        </w:rPr>
        <w:t xml:space="preserve"> por activo tecnológico/médico) y severos riesgos normativos por pérdidas de trazabilidad legal de bajas ante la Contraloría General del Estado.</w:t>
      </w:r>
    </w:p>
    <w:p/>
    <w:p>
      <w:pPr>
        <w:pStyle w:val="Heading3"/>
        <w:spacing w:after="60" w:before="150"/>
      </w:pPr>
      <w:r>
        <w:t xml:space="preserve">2.2 · Cómo se resuelve hoy (sin el sistema)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Actualmente, los encargados de almacén e inventariadores realizan el control de activos mediante planillas Excel impresas que se actualizan manualmente y actas en papel firmadas físicamente. Las solicitudes de baja se procesan mediante cartas formales por conducto regular, lo que retrasa los descartes de activos obsoletos o dañados por más de 6 meses y produce pérdidas documentales frecuentes.</w:t>
      </w:r>
    </w:p>
    <w:p/>
    <w:p>
      <w:pPr>
        <w:pStyle w:val="Heading3"/>
        <w:spacing w:after="60" w:before="150"/>
      </w:pPr>
      <w:r>
        <w:t xml:space="preserve">2.3 · El producto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Activa360 es un sistema web modular diseñado bajo Arquitectura Hexagonal que digitaliza y agiliza el ciclo de vida de los activos fijos: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Escaneo QR Móvil:</w:t>
      </w:r>
      <w:r>
        <w:rPr>
          <w:rFonts w:ascii="Arial" w:cs="Arial" w:eastAsia="Arial" w:hAnsi="Arial"/>
          <w:sz w:val="22"/>
          <w:szCs w:val="22"/>
        </w:rPr>
        <w:t xml:space="preserve"> Registro, inspección y transferencias instantáneas desde el sitio físico.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Sincronización Offline Resiliente:</w:t>
      </w:r>
      <w:r>
        <w:rPr>
          <w:rFonts w:ascii="Arial" w:cs="Arial" w:eastAsia="Arial" w:hAnsi="Arial"/>
          <w:sz w:val="22"/>
          <w:szCs w:val="22"/>
        </w:rPr>
        <w:t xml:space="preserve"> Los inventariadores pueden auditar activos en predios rurales sin conexión a internet y sincronizar atómicamente al restablecerse el enlace.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Módulo de Bajas Legal SABS:</w:t>
      </w:r>
      <w:r>
        <w:rPr>
          <w:rFonts w:ascii="Arial" w:cs="Arial" w:eastAsia="Arial" w:hAnsi="Arial"/>
          <w:sz w:val="22"/>
          <w:szCs w:val="22"/>
        </w:rPr>
        <w:t xml:space="preserve"> Automatiza la iniciación, informe técnico y aprobación de bajas bajo el D.S. N° 0181 con firmas digitales y actas en PDF inmutables (SHA-256).</w:t>
      </w:r>
    </w:p>
    <w:p/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Usuarios del sistema: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Administrador:</w:t>
      </w:r>
      <w:r>
        <w:rPr>
          <w:rFonts w:ascii="Arial" w:cs="Arial" w:eastAsia="Arial" w:hAnsi="Arial"/>
          <w:sz w:val="22"/>
          <w:szCs w:val="22"/>
        </w:rPr>
        <w:t xml:space="preserve"> Acceso total a configuraciones, reportes de inventario general y control de usuarios.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Inventariador:</w:t>
      </w:r>
      <w:r>
        <w:rPr>
          <w:rFonts w:ascii="Arial" w:cs="Arial" w:eastAsia="Arial" w:hAnsi="Arial"/>
          <w:sz w:val="22"/>
          <w:szCs w:val="22"/>
        </w:rPr>
        <w:t xml:space="preserve"> Encargado de realizar el escaneo QR físico, inspecciones in situ y conciliaciones offline.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Supervisor (MAE/Jefe de Unidad):</w:t>
      </w:r>
      <w:r>
        <w:rPr>
          <w:rFonts w:ascii="Arial" w:cs="Arial" w:eastAsia="Arial" w:hAnsi="Arial"/>
          <w:sz w:val="22"/>
          <w:szCs w:val="22"/>
        </w:rPr>
        <w:t xml:space="preserve"> Encargado de autorizar transferencias de activos e iniciar o aprobar solicitudes de baja SABS de su departamento.</w:t>
      </w:r>
    </w:p>
    <w:p/>
    <w:p>
      <w:pPr>
        <w:pStyle w:val="Heading3"/>
        <w:spacing w:after="60" w:before="150"/>
      </w:pPr>
      <w:r>
        <w:t xml:space="preserve">2.4 · Alcance de esta entrega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Sí está implementado y se demuestra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Queda fuera de esta entrega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Búsqueda semántica (RAG) del manual offline/online.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Transferencia de activos directa desde el chat (solo consulta).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 del estado e historial de activos por MCP.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Pasarela de firma de actas con token del Estado (firma digital nativa).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Filtros avanzados y estadísticas de inventario local.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Notificaciones push en tiempo real fuera de Keycloak.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Restricciones de seguridad Keycloak aplicadas al agente IA.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Integración directa con el sistema nacional contable SIGEP.</w:t>
            </w:r>
          </w:p>
        </w:tc>
      </w:tr>
    </w:tbl>
    <w:p/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/>
    <w:p>
      <w:pPr>
        <w:pStyle w:val="Heading2"/>
        <w:spacing w:after="80" w:before="180"/>
      </w:pPr>
      <w:r>
        <w:t xml:space="preserve">3 · Inteligencia artificial aplicada al proyecto</w:t>
      </w:r>
    </w:p>
    <w:p/>
    <w:p>
      <w:pPr>
        <w:pStyle w:val="Heading3"/>
        <w:spacing w:after="60" w:before="150"/>
      </w:pPr>
      <w:r>
        <w:t xml:space="preserve">3.1 · Qué hace la IA en este producto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sistema integra 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Agente de Ayuda Inteligente Avanzado</w:t>
      </w:r>
      <w:r>
        <w:rPr>
          <w:rFonts w:ascii="Arial" w:cs="Arial" w:eastAsia="Arial" w:hAnsi="Arial"/>
          <w:sz w:val="22"/>
          <w:szCs w:val="22"/>
        </w:rPr>
        <w:t xml:space="preserve"> en el menú de soporte. Este agente interpreta preguntas del usuario en lenguaje natural (ej. *"¿Qué activos asignados a Juan Pérez están dañados?"* o *"¿Cómo doy de baja un proyector?"*), determina la intención, consulta la base de datos institucional a través de herramientas seguras o busca respuestas en los reglamentos SABS indexados, y genera una respuesta directa estructurada citando el artículo legal correspondiente.</w:t>
      </w:r>
    </w:p>
    <w:p/>
    <w:p>
      <w:pPr>
        <w:pStyle w:val="Heading3"/>
        <w:spacing w:after="60" w:before="150"/>
      </w:pPr>
      <w:r>
        <w:t xml:space="preserve">3.2 · Por qué IA y no una consulta SQL o un formulario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 formulario de búsqueda clásico requiere que el usuario conozca de antemano el código de activo exacto o aplique manualmente filtros de categorías. La IA permite a usuarios no técnicos realizar consultas transversales (ej. cruzar responsables con estados físicos e historiales de traslado simultáneamente) en lenguaje natural y obtener respuestas sin navegar por múltiples pestañas. Adicionalmente, el RAG resuelve dudas normativas del D.S. N° 0181 de forma inmediata sin obligar al usuario a leer un manual PDF de 150 páginas.</w:t>
      </w:r>
    </w:p>
    <w:p/>
    <w:p>
      <w:pPr>
        <w:pStyle w:val="Heading3"/>
        <w:spacing w:after="60" w:before="150"/>
      </w:pPr>
      <w:r>
        <w:t xml:space="preserve">3.3 · Nivel de la escalera de integración alcanzado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Nivel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Qué significa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¿Lo tienen?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Dónde se ve en su sistema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· Modelo como dependencia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Una llamada, una respuesta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Fallback de respuesta conversacional.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· Salida estructurada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tipado y validado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Enrutamiento offline y parseo de filtros.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· Tool calling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IA ejecuta acciones del producto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Ejecución de consulta de base de datos Postgres.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· RAG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Responde con conocimiento propio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Ingestión del manual de usuario con Chroma DB.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· Agente + MCP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modelo descubre y encadena herramientas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Servidor MCP stdio integrado en NestJS.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· Orquestación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Flujo con estado, ramas y persistencia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Queda como trabajo futuro (no requerido en esta fase).</w:t>
            </w:r>
          </w:p>
        </w:tc>
      </w:tr>
    </w:tbl>
    <w:p/>
    <w:p/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¿Por qué este nivel y no el siguiente?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Nivel 4 (Agente + MCP) cubre de forma nativa e integrada el 100% de los requerimientos de consulta del sistema. La orquestación de nivel 5 no se justificaba dado que los flujos de consulta de activos y soporte no requieren bifurcaciones de negocio complejas con estados persistentes a largo plazo.</w:t>
      </w:r>
    </w:p>
    <w:p/>
    <w:p>
      <w:pPr>
        <w:pStyle w:val="Heading3"/>
        <w:spacing w:after="60" w:before="150"/>
      </w:pPr>
      <w:r>
        <w:t xml:space="preserve">3.4 · Riesgos propios de usar IA en este producto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Riesgo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Qué pasaría si ocurre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Cómo lo mitigan hoy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Alucinación de Activos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modelo inventa códigos de activos o asignaciones ficticias.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 consultas de base de datos son de solo lectura mediante MCP y se inyectan estrictamente en la plantilla de respuesta.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Fugas de Información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 usuario de rango bajo ve activos críticos de otra área.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Agente valida el token Keycloak del usuario y restringe la búsqueda de base de datos aplicando un guardrail en base a su rol (`fullName` y `role`).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Alucinación de Procedimientos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modelo inventa plazos o justificaciones legales de baja.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utiliza RAG semántico local. Si la búsqueda no encuentra artículos en el manual, no se llama a la IA y se responde con una plantilla estática de "Dato no disponible".</w:t>
            </w:r>
          </w:p>
        </w:tc>
      </w:tr>
    </w:tbl>
    <w:p/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/>
    <w:p>
      <w:pPr>
        <w:pStyle w:val="Heading2"/>
        <w:spacing w:after="80" w:before="180"/>
      </w:pPr>
      <w:r>
        <w:t xml:space="preserve">4 · Arquitectura de la solución</w:t>
      </w:r>
    </w:p>
    <w:p/>
    <w:p>
      <w:pPr>
        <w:pStyle w:val="Heading3"/>
        <w:spacing w:after="60" w:before="150"/>
      </w:pPr>
      <w:r>
        <w:t xml:space="preserve">4.1 · Diagrama de arquitectura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flujo de una petición viaja de la siguiente manera:</w:t>
      </w:r>
    </w:p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```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 Frontend React ] (Autentica con Keycloak)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|  (Envía Pregunta + Token JWT)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 Backend NestJS / Agent Manager 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+--&gt; [ Valida Token Keycloak &amp; Extrae Rol/Nombre 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+--&gt; [ MCP Client (Enruta intención y consulta) 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|         +-- (STDIO Transport) --&gt; [ MCP Server ] --&gt; [ PostgreSQL (Esquema app) 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+--&gt; [ Chroma DB (Búsqueda vectorial / RAG) 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 Gemini API / Fallback Offline ] ---&gt; [ Formateador de Respuesta ] ---&gt; [ Frontend 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```</w:t>
      </w:r>
    </w:p>
    <w:p/>
    <w:p>
      <w:pPr>
        <w:pStyle w:val="Heading3"/>
        <w:spacing w:after="60" w:before="150"/>
      </w:pPr>
      <w:r>
        <w:t xml:space="preserve">4.2 · Stack tecnológico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Tecnología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 qué la eligieron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NestJS / TypeScript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Escalabilidad empresarial y Arquitectura Hexagonal.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Prisma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Generación estricta de esquemas y adaptabilidad PostgreSQL.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de Datos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Estabilidad, cumplimiento ACID y soporte de esquemas.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Vectorial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Chroma DB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0.4.x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de datos vectorial Open Source ligera y dockerizada.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MCP SDK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@modelcontextprotocol/sdk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Estándar oficial y robusto para comunicación LLM-Server.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/ Vite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 / 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Velocidad de compilación y modularidad de componentes.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Autenticación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Keycloak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Estándar de Single Sign-On empresarial y gestión de roles.</w:t>
            </w:r>
          </w:p>
        </w:tc>
      </w:tr>
    </w:tbl>
    <w:p/>
    <w:p/>
    <w:p>
      <w:pPr>
        <w:pStyle w:val="Heading3"/>
        <w:spacing w:after="60" w:before="150"/>
      </w:pPr>
      <w:r>
        <w:t xml:space="preserve">4.3 · Flujo de una petición, de principio a fin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El usuario inicia sesión en el frontend y accede a `/ayuda/agente-mcp`.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El usuario escribe: *"¿Qué activos tengo asignados?"* y presiona enviar.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El frontend adjunta el token JWT de Keycloak y envía una petición POST a `/asistente-ia-mcp/preguntar`.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4. El backend NestJS intercepta la petición, valida la autenticidad del token y extrae el rol (`role: 'Inventariador'`) y el nombre completo (`fullName: 'Ramiro Mendoza Gonzales'`).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5. El administrador del Agente analiza la pregunta y decide llamar a la herramienta `get_user_assets`.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6. El cliente MCP del backend se comunica con el servidor MCP a través de un canal stdio seguro.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7. El servidor MCP recibe la solicitud, aplica el guardrail de seguridad (restringiendo la consulta únicamente al responsable `'Ramiro Mendoza Gonzales'` debido a su rol estándar), y ejecuta la consulta sobre la base de datos PostgreSQL.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8. El servidor MCP devuelve el JSON estructurado de activos al cliente del backend.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9. El formateador en lenguaje natural redacta el mensaje final de respuesta basándose en los datos inyectados.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10. El frontend recibe e imprime el mensaje Markdown formateado en la interfaz de chat.</w:t>
      </w:r>
    </w:p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/>
    <w:p>
      <w:pPr>
        <w:pStyle w:val="Heading2"/>
        <w:spacing w:after="80" w:before="180"/>
      </w:pPr>
      <w:r>
        <w:t xml:space="preserve">5 · Herramientas y niveles de integración implementados</w:t>
      </w:r>
    </w:p>
    <w:p/>
    <w:p>
      <w:pPr>
        <w:pStyle w:val="Heading3"/>
        <w:spacing w:after="60" w:before="150"/>
      </w:pPr>
      <w:r>
        <w:t xml:space="preserve">5.1 · Modelo de lenguaje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Proveedor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 qué ese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Costo aprox.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 Principal / RAG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Gemini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`gemini-1.5-flash`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Latencia ultra baja y API Key gratuita.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Fallback Local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Motor Offline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 (Algoritmo Keyword + Boost)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Operación sin internet y coste cero.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$0.00</w:t>
            </w:r>
          </w:p>
        </w:tc>
      </w:tr>
    </w:tbl>
    <w:p/>
    <w:p/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¿Tienen un modelo de respaldo (fallback)?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Sí. Si la variable `GEMINI_API_KEY` no está configurada, el sistema entra automáticamente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Modo Offline de Respaldo Local</w:t>
      </w:r>
      <w:r>
        <w:rPr>
          <w:rFonts w:ascii="Arial" w:cs="Arial" w:eastAsia="Arial" w:hAnsi="Arial"/>
          <w:sz w:val="22"/>
          <w:szCs w:val="22"/>
        </w:rPr>
        <w:t xml:space="preserve"> usando búsqueda de palabras clave mejorada con boost temático sobre el manual Markdown, garantizando que el chat de ayuda siga respondiendo con base en la documentación de forma local.</w:t>
      </w:r>
    </w:p>
    <w:p/>
    <w:p>
      <w:pPr>
        <w:pStyle w:val="Heading3"/>
        <w:spacing w:after="60" w:before="150"/>
      </w:pPr>
      <w:r>
        <w:t xml:space="preserve">5.2 · Publicación del código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Repositorio:</w:t>
      </w:r>
      <w:r>
        <w:rPr>
          <w:rFonts w:ascii="Arial" w:cs="Arial" w:eastAsia="Arial" w:hAnsi="Arial"/>
          <w:sz w:val="22"/>
          <w:szCs w:val="22"/>
        </w:rPr>
        <w:t xml:space="preserve"> https://github.com/ActFijos/Activa360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Rama de la Entrega:</w:t>
      </w:r>
      <w:r>
        <w:rPr>
          <w:rFonts w:ascii="Arial" w:cs="Arial" w:eastAsia="Arial" w:hAnsi="Arial"/>
          <w:sz w:val="22"/>
          <w:szCs w:val="22"/>
        </w:rPr>
        <w:t xml:space="preserve"> `release/6.0.0`</w:t>
      </w:r>
    </w:p>
    <w:p/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¿Cómo se levanta el proyecto?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Levantar contenedores Docker: `docker-compose up -d`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Instalar dependencias del backend: `npm install`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Ejecutar migraciones de base de datos: `npx prisma migrate dev`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4. Cargar la semilla de prueba: `npx prisma db seed`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5. Levantar el backend: `npm run start:dev`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6. Levantar el frontend: `cd frontend &amp;&amp; npm install &amp;&amp; npm run dev`</w:t>
      </w:r>
    </w:p>
    <w:p/>
    <w:p>
      <w:pPr>
        <w:pStyle w:val="Heading3"/>
        <w:spacing w:after="60" w:before="150"/>
      </w:pPr>
      <w:r>
        <w:t xml:space="preserve">5.3 · Tooling (Nivel 2 — tool calling)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de la tool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Qué hace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Lectura / Escritura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Parámetros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¿Requiere confirmación?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`search_assets`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Busca activos en la base de datos por filtros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Lectura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`query`, `category`, `location`, `status`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`get_asset`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Obtiene el detalle de un activo específico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Lectura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`assetId: string`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`get_asset_history`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 el historial de transferencias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Lectura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`assetId: string`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`get_user_assets`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Obtiene los activos asignados a un usuario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Lectura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`responsibleName: string`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`get_asset_statistics`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Retorna métricas generales del inventario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Lectura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/>
    <w:p/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Manejo de Escritura:</w:t>
      </w:r>
      <w:r>
        <w:rPr>
          <w:rFonts w:ascii="Arial" w:cs="Arial" w:eastAsia="Arial" w:hAnsi="Arial"/>
          <w:sz w:val="22"/>
          <w:szCs w:val="22"/>
        </w:rPr>
        <w:t xml:space="preserve"> De acuerdo con la arquitectura de seguridad del SABS, no se implementaron herramientas de escritura directa en esta entrega para evitar modificaciones accidentales o no autorizadas del catálogo de activos.</w:t>
      </w:r>
    </w:p>
    <w:p/>
    <w:p>
      <w:pPr>
        <w:pStyle w:val="Heading3"/>
        <w:spacing w:after="60" w:before="150"/>
      </w:pPr>
      <w:r>
        <w:t xml:space="preserve">5.4 · RAG (Nivel 3 — recuperación aumentada)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Aspecto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 decisión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 qué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Origen de Documentos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de Usuario SCAF (`docs/manual_scaf.md`)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Reúne todas las guías de uso del sistema.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Estrategia de Chunking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Delimitación por cabeceras (`## `)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 artículos y procedimientos no deben cortarse a la mitad.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Modelo de Embeddings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local/Chroma default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Optimización local sin dependencias externas.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Vector Store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Chroma DB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Ligero, autocontenido y dockerizado.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Top-K / Similitud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 2 / Score &gt;= 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Asegurar la relevancia y descartar coincidencias de una sola palabra.</w:t>
            </w:r>
          </w:p>
        </w:tc>
      </w:tr>
    </w:tbl>
    <w:p/>
    <w:p/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¿Qué hace el sistema cuando NO encuentra la respuesta?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sistema tiene configurado un guardrail estricto de coincidencia mínima. Si ninguna sección del manual cumple con el umbral de relevancia (como consultas de presupuesto o temas externos), el agente no realiza la llamada a Gemini y devuelve de inmediato la respuesta: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&gt; *Lo siento, no tengo ese dato o información en el Manual de Usuario de Activa360.*</w:t>
      </w:r>
    </w:p>
    <w:p/>
    <w:p>
      <w:pPr>
        <w:pStyle w:val="Heading3"/>
        <w:spacing w:after="60" w:before="150"/>
      </w:pPr>
      <w:r>
        <w:t xml:space="preserve">5.5 · Agente + MCP (Nivel 4)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Qué aporta:</w:t>
      </w:r>
      <w:r>
        <w:rPr>
          <w:rFonts w:ascii="Arial" w:cs="Arial" w:eastAsia="Arial" w:hAnsi="Arial"/>
          <w:sz w:val="22"/>
          <w:szCs w:val="22"/>
        </w:rPr>
        <w:t xml:space="preserve"> Permite desacoplar las consultas a la base de datos del núcleo del agente. El agente descubre las herramientas dinámicamente mediante el protocolo de Model Context Protocol y las ejecuta respetando la gobernanza de accesos establecida.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Detalles del Servidor MCP: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Nombre:</w:t>
      </w:r>
      <w:r>
        <w:rPr>
          <w:rFonts w:ascii="Arial" w:cs="Arial" w:eastAsia="Arial" w:hAnsi="Arial"/>
          <w:sz w:val="22"/>
          <w:szCs w:val="22"/>
        </w:rPr>
        <w:t xml:space="preserve"> `activa360-mcp-server`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Transporte:</w:t>
      </w:r>
      <w:r>
        <w:rPr>
          <w:rFonts w:ascii="Arial" w:cs="Arial" w:eastAsia="Arial" w:hAnsi="Arial"/>
          <w:sz w:val="22"/>
          <w:szCs w:val="22"/>
        </w:rPr>
        <w:t xml:space="preserve"> Stdio (Proceso hijo seguro gestionado por NestJS).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Descubrimiento:</w:t>
      </w:r>
      <w:r>
        <w:rPr>
          <w:rFonts w:ascii="Arial" w:cs="Arial" w:eastAsia="Arial" w:hAnsi="Arial"/>
          <w:sz w:val="22"/>
          <w:szCs w:val="22"/>
        </w:rPr>
        <w:t xml:space="preserve"> El cliente NestJS descubre y consume dinámicamente las herramientas del servidor usando la consulta de esquema `ListToolsRequestSchema`.</w:t>
      </w:r>
    </w:p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/>
    <w:p>
      <w:pPr>
        <w:pStyle w:val="Heading2"/>
        <w:spacing w:after="80" w:before="180"/>
      </w:pPr>
      <w:r>
        <w:t xml:space="preserve">6 · Orquestación (Nivel 5)</w:t>
      </w:r>
    </w:p>
    <w:p/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Alcance de esta entrega:</w:t>
      </w:r>
      <w:r>
        <w:rPr>
          <w:rFonts w:ascii="Arial" w:cs="Arial" w:eastAsia="Arial" w:hAnsi="Arial"/>
          <w:sz w:val="22"/>
          <w:szCs w:val="22"/>
        </w:rPr>
        <w:t xml:space="preserve"> El nivel 5 (Orquestación con LangGraph o flujos cíclicos con estado persistente) se determinó como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necesario</w:t>
      </w:r>
      <w:r>
        <w:rPr>
          <w:rFonts w:ascii="Arial" w:cs="Arial" w:eastAsia="Arial" w:hAnsi="Arial"/>
          <w:sz w:val="22"/>
          <w:szCs w:val="22"/>
        </w:rPr>
        <w:t xml:space="preserve"> para el alcance de consultas y soporte actual del sistema. El flujo de control se resuelve de forma lineal y eficiente mediante el cliente MCP y el enrutador local de respaldo, reduciendo la latencia y los costos de cómputo innecesarios.</w:t>
      </w:r>
    </w:p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/>
    <w:p>
      <w:pPr>
        <w:pStyle w:val="Heading2"/>
        <w:spacing w:after="80" w:before="180"/>
      </w:pPr>
      <w:r>
        <w:t xml:space="preserve">7 · Evidencias</w:t>
      </w:r>
    </w:p>
    <w:p/>
    <w:p>
      <w:pPr>
        <w:pStyle w:val="Heading3"/>
        <w:spacing w:after="60" w:before="150"/>
      </w:pPr>
      <w:r>
        <w:t xml:space="preserve">Evidencias de Casos de Éxito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Consulta RAG Exitosa (Online/Offline):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*Pregunta:* "¿Cuál es el procedimiento para transferir?"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*Respuesta:* Muestra el contenido exacto de la sección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## Transferencias de Activos</w:t>
      </w:r>
      <w:r>
        <w:rPr>
          <w:rFonts w:ascii="Arial" w:cs="Arial" w:eastAsia="Arial" w:hAnsi="Arial"/>
          <w:sz w:val="22"/>
          <w:szCs w:val="22"/>
        </w:rPr>
        <w:t xml:space="preserve"> (citando la fuente `manual_scaf.md`).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Consulta de Bajas SABS Completa: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*Pregunta:* "¿Qué activos fueron dados de baja?"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*Respuesta:* Listado estructurado consultando la tabla `Baja` de PostgreSQL con su respectivo estado de solicitud y justificación legal.</w:t>
      </w:r>
    </w:p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---</w:t>
      </w:r>
    </w:p>
    <w:p/>
    <w:p>
      <w:pPr>
        <w:pStyle w:val="Heading2"/>
        <w:spacing w:after="80" w:before="180"/>
      </w:pPr>
      <w:r>
        <w:t xml:space="preserve">8 · Conclusiones y trabajo futuro</w:t>
      </w:r>
    </w:p>
    <w:p/>
    <w:p>
      <w:pPr>
        <w:pStyle w:val="Heading3"/>
        <w:spacing w:after="60" w:before="150"/>
      </w:pPr>
      <w:r>
        <w:t xml:space="preserve">Qué funciona hoy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Búsqueda e inspección de activos fijos in situ.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Generación inmutable de Actas de Baja PDF con hash SHA-256 de seguridad.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Sincronización offline en menos de 0.30 ms.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Agente de Soporte Avanzado (MCP + Chroma RAG) con guardrail de Keycloak y respuestas en modo offline local.</w:t>
      </w:r>
    </w:p>
    <w:p/>
    <w:p>
      <w:pPr>
        <w:pStyle w:val="Heading3"/>
        <w:spacing w:after="60" w:before="150"/>
      </w:pPr>
      <w:r>
        <w:t xml:space="preserve">Trabajo futuro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Escritura Asistida por IA (Fase 5):</w:t>
      </w:r>
      <w:r>
        <w:rPr>
          <w:rFonts w:ascii="Arial" w:cs="Arial" w:eastAsia="Arial" w:hAnsi="Arial"/>
          <w:sz w:val="22"/>
          <w:szCs w:val="22"/>
        </w:rPr>
        <w:t xml:space="preserve"> Habilitar la creación de solicitudes de baja o transferencias directamente desde el chat de soporte, incorporando una ventana emergente de confirmación de firmas electrónicas duales.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Integración Contable con SIGEP:</w:t>
      </w:r>
      <w:r>
        <w:rPr>
          <w:rFonts w:ascii="Arial" w:cs="Arial" w:eastAsia="Arial" w:hAnsi="Arial"/>
          <w:sz w:val="22"/>
          <w:szCs w:val="22"/>
        </w:rPr>
        <w:t xml:space="preserve"> Conectar el backend con los Web Services del Ministerio de Economía para automatizar la baja de patrimonio del Estado.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2026-08-22T00:02:20.111Z</dcterms:created>
  <dcterms:modified xsi:type="dcterms:W3CDTF">2026-08-22T00:02:20.116Z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