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85A" w:rsidRDefault="003E485A" w:rsidP="003E485A">
      <w:pPr>
        <w:pStyle w:val="Heading1"/>
      </w:pPr>
      <w:r>
        <w:t xml:space="preserve">TBS </w:t>
      </w:r>
      <w:r w:rsidR="00472D17">
        <w:t xml:space="preserve">Monitoring and </w:t>
      </w:r>
      <w:r>
        <w:t>Alerting</w:t>
      </w:r>
      <w:r w:rsidR="0032525D">
        <w:t xml:space="preserve"> Automation</w:t>
      </w:r>
      <w:r>
        <w:t xml:space="preserve"> </w:t>
      </w:r>
      <w:r w:rsidR="0032525D">
        <w:t>Solution</w:t>
      </w:r>
      <w:r>
        <w:t xml:space="preserve"> Design</w:t>
      </w:r>
    </w:p>
    <w:p w:rsidR="0032525D" w:rsidRPr="0032525D" w:rsidRDefault="0032525D" w:rsidP="0032525D"/>
    <w:p w:rsidR="0032525D" w:rsidRPr="003E485A" w:rsidRDefault="0032525D" w:rsidP="0032525D">
      <w:pPr>
        <w:pStyle w:val="Heading2"/>
      </w:pPr>
      <w:r>
        <w:t>Requirements</w:t>
      </w:r>
    </w:p>
    <w:p w:rsidR="003E485A" w:rsidRDefault="008B5280" w:rsidP="003E485A">
      <w:r>
        <w:t>The</w:t>
      </w:r>
      <w:r w:rsidR="00472D17">
        <w:t xml:space="preserve"> monitoring and alerting framework </w:t>
      </w:r>
      <w:r>
        <w:t xml:space="preserve">is designed </w:t>
      </w:r>
      <w:r w:rsidR="00E94B15">
        <w:t>to meet</w:t>
      </w:r>
      <w:r w:rsidR="00367BFF">
        <w:t xml:space="preserve"> the following requirements</w:t>
      </w:r>
      <w:r w:rsidR="003E485A">
        <w:t>:</w:t>
      </w:r>
    </w:p>
    <w:p w:rsidR="003E485A" w:rsidRDefault="00367BFF" w:rsidP="003E485A">
      <w:pPr>
        <w:pStyle w:val="ListParagraph"/>
        <w:numPr>
          <w:ilvl w:val="0"/>
          <w:numId w:val="1"/>
        </w:numPr>
      </w:pPr>
      <w:r>
        <w:t xml:space="preserve">Flexible </w:t>
      </w:r>
      <w:r w:rsidR="00765BD4">
        <w:t>while minimizing</w:t>
      </w:r>
      <w:r w:rsidR="003E485A">
        <w:t xml:space="preserve"> tag maintenance effort</w:t>
      </w:r>
    </w:p>
    <w:p w:rsidR="003E485A" w:rsidRDefault="00367BFF" w:rsidP="003E485A">
      <w:pPr>
        <w:pStyle w:val="ListParagraph"/>
        <w:numPr>
          <w:ilvl w:val="0"/>
          <w:numId w:val="1"/>
        </w:numPr>
      </w:pPr>
      <w:r>
        <w:t>S</w:t>
      </w:r>
      <w:r w:rsidR="003E485A">
        <w:t>upport for one or more teams to be notified for a particular type of alert, without notifying teams that shouldn’t be notified</w:t>
      </w:r>
    </w:p>
    <w:p w:rsidR="00472D17" w:rsidRDefault="00367BFF" w:rsidP="00472D17">
      <w:pPr>
        <w:pStyle w:val="ListParagraph"/>
        <w:numPr>
          <w:ilvl w:val="0"/>
          <w:numId w:val="1"/>
        </w:numPr>
      </w:pPr>
      <w:r>
        <w:t>F</w:t>
      </w:r>
      <w:r w:rsidR="00472D17">
        <w:t>ully automated so that when new resources are created that require monitoring and alerting, the applicable alert rule sets are automatically created for that resource.</w:t>
      </w:r>
    </w:p>
    <w:p w:rsidR="003E485A" w:rsidRDefault="00367BFF" w:rsidP="00472D17">
      <w:pPr>
        <w:pStyle w:val="ListParagraph"/>
        <w:numPr>
          <w:ilvl w:val="0"/>
          <w:numId w:val="1"/>
        </w:numPr>
      </w:pPr>
      <w:r>
        <w:t>W</w:t>
      </w:r>
      <w:r w:rsidR="00472D17">
        <w:t xml:space="preserve">hen </w:t>
      </w:r>
      <w:proofErr w:type="spellStart"/>
      <w:r w:rsidR="00472D17">
        <w:t>broadscale</w:t>
      </w:r>
      <w:proofErr w:type="spellEnd"/>
      <w:r w:rsidR="00472D17">
        <w:t xml:space="preserve"> changes are required to an alert trigger condition (</w:t>
      </w:r>
      <w:proofErr w:type="spellStart"/>
      <w:r w:rsidR="00472D17">
        <w:t>eg</w:t>
      </w:r>
      <w:proofErr w:type="spellEnd"/>
      <w:r w:rsidR="00472D17">
        <w:t>. across hundreds of resources), the change</w:t>
      </w:r>
      <w:r w:rsidR="007A2712">
        <w:t>s</w:t>
      </w:r>
      <w:r w:rsidR="00472D17">
        <w:t xml:space="preserve"> </w:t>
      </w:r>
      <w:r>
        <w:t>can</w:t>
      </w:r>
      <w:r w:rsidR="00472D17">
        <w:t xml:space="preserve"> be rolled out automatically</w:t>
      </w:r>
      <w:r w:rsidR="00765BD4">
        <w:t xml:space="preserve"> to all affected alert rules</w:t>
      </w:r>
    </w:p>
    <w:p w:rsidR="003E16DA" w:rsidRDefault="003E16DA" w:rsidP="003E16DA">
      <w:pPr>
        <w:pStyle w:val="Heading2"/>
      </w:pPr>
    </w:p>
    <w:p w:rsidR="003E16DA" w:rsidRDefault="003E16DA" w:rsidP="003E16DA">
      <w:pPr>
        <w:pStyle w:val="Heading2"/>
      </w:pPr>
      <w:r>
        <w:t>Solution design</w:t>
      </w:r>
    </w:p>
    <w:p w:rsidR="00472D17" w:rsidRDefault="00472D17" w:rsidP="003E485A">
      <w:r>
        <w:t xml:space="preserve">The Azure native components </w:t>
      </w:r>
      <w:r w:rsidR="007A2712">
        <w:t>leveraged</w:t>
      </w:r>
      <w:r w:rsidR="0032525D">
        <w:t xml:space="preserve"> by</w:t>
      </w:r>
      <w:r>
        <w:t xml:space="preserve"> the framework are:</w:t>
      </w:r>
    </w:p>
    <w:p w:rsidR="003E485A" w:rsidRDefault="00472D17" w:rsidP="00472D17">
      <w:pPr>
        <w:pStyle w:val="ListParagraph"/>
        <w:numPr>
          <w:ilvl w:val="0"/>
          <w:numId w:val="2"/>
        </w:numPr>
      </w:pPr>
      <w:r>
        <w:t>Action Groups which define who or what to notify (</w:t>
      </w:r>
      <w:proofErr w:type="spellStart"/>
      <w:r>
        <w:t>ie</w:t>
      </w:r>
      <w:proofErr w:type="spellEnd"/>
      <w:r>
        <w:t xml:space="preserve">. contact information for a support team member, an Azure runbook or Azure Function, </w:t>
      </w:r>
      <w:proofErr w:type="spellStart"/>
      <w:r>
        <w:t>etc</w:t>
      </w:r>
      <w:proofErr w:type="spellEnd"/>
      <w:r>
        <w:t>)</w:t>
      </w:r>
    </w:p>
    <w:p w:rsidR="00472D17" w:rsidRDefault="00472D17" w:rsidP="00472D17">
      <w:pPr>
        <w:pStyle w:val="ListParagraph"/>
        <w:numPr>
          <w:ilvl w:val="0"/>
          <w:numId w:val="2"/>
        </w:numPr>
      </w:pPr>
      <w:r>
        <w:t>Alert Rules which define the conditions under which the alert should trigger, as well as which Action Groups to notify.</w:t>
      </w:r>
      <w:r w:rsidR="00765BD4">
        <w:t xml:space="preserve">  The solution uses both Metric and Log Query alert rules types.</w:t>
      </w:r>
    </w:p>
    <w:p w:rsidR="008B5280" w:rsidRDefault="008B5280" w:rsidP="008B5280">
      <w:pPr>
        <w:pStyle w:val="ListParagraph"/>
        <w:numPr>
          <w:ilvl w:val="0"/>
          <w:numId w:val="2"/>
        </w:numPr>
      </w:pPr>
      <w:r>
        <w:t>Azure resource group and resource level tags.  The tags described below will be used to control which Action Groups are notified as well as which Alert Rules sets apply for a particular resource.</w:t>
      </w:r>
    </w:p>
    <w:p w:rsidR="00691879" w:rsidRDefault="00691879" w:rsidP="00472D17">
      <w:r>
        <w:t>Related sets of Alert Rules are grouped into “alert rule sets” (this is our own concept).  Each resource type in azure will have a correspon</w:t>
      </w:r>
      <w:r w:rsidR="00765BD4">
        <w:t>ding default set of alert rules, referred to as “standard” rule sets</w:t>
      </w:r>
      <w:r w:rsidR="00765BD4">
        <w:t xml:space="preserve">.  These are implicit and </w:t>
      </w:r>
      <w:r w:rsidR="00765BD4" w:rsidRPr="0032525D">
        <w:rPr>
          <w:u w:val="single"/>
        </w:rPr>
        <w:t>do not</w:t>
      </w:r>
      <w:r w:rsidR="00765BD4">
        <w:t xml:space="preserve"> need to be specified in the </w:t>
      </w:r>
      <w:proofErr w:type="spellStart"/>
      <w:r w:rsidR="00765BD4">
        <w:t>alertRuleExtensions</w:t>
      </w:r>
      <w:proofErr w:type="spellEnd"/>
      <w:r w:rsidR="00765BD4">
        <w:t xml:space="preserve"> tag (</w:t>
      </w:r>
      <w:proofErr w:type="spellStart"/>
      <w:r w:rsidR="00765BD4">
        <w:t>eg</w:t>
      </w:r>
      <w:proofErr w:type="spellEnd"/>
      <w:r w:rsidR="00765BD4">
        <w:t xml:space="preserve">. </w:t>
      </w:r>
      <w:proofErr w:type="spellStart"/>
      <w:r w:rsidR="00765BD4">
        <w:t>windowsVMStandard</w:t>
      </w:r>
      <w:proofErr w:type="spellEnd"/>
      <w:r w:rsidR="00765BD4">
        <w:t xml:space="preserve">, </w:t>
      </w:r>
      <w:proofErr w:type="spellStart"/>
      <w:r w:rsidR="00765BD4">
        <w:t>applicationInsightsStandard</w:t>
      </w:r>
      <w:proofErr w:type="spellEnd"/>
      <w:r w:rsidR="00765BD4">
        <w:t xml:space="preserve">, </w:t>
      </w:r>
      <w:proofErr w:type="spellStart"/>
      <w:r w:rsidR="00765BD4">
        <w:t>etc</w:t>
      </w:r>
      <w:proofErr w:type="spellEnd"/>
      <w:r w:rsidR="00765BD4">
        <w:t>).</w:t>
      </w:r>
    </w:p>
    <w:p w:rsidR="00691879" w:rsidRDefault="00691879" w:rsidP="00472D17">
      <w:r>
        <w:t>The solution uses resource level and resource group level tags to define whether alerting should be enabled</w:t>
      </w:r>
      <w:r w:rsidR="007A2712">
        <w:t xml:space="preserve"> for a given resource or resource group</w:t>
      </w:r>
      <w:r>
        <w:t>, what alert rules should be applied, and which</w:t>
      </w:r>
      <w:r w:rsidR="007A2712">
        <w:t xml:space="preserve"> operations </w:t>
      </w:r>
      <w:r>
        <w:t>support team</w:t>
      </w:r>
      <w:r w:rsidR="007A2712">
        <w:t>(s)</w:t>
      </w:r>
      <w:r>
        <w:t xml:space="preserve"> to notify.</w:t>
      </w:r>
    </w:p>
    <w:p w:rsidR="00691879" w:rsidRDefault="002B39D7" w:rsidP="00472D17">
      <w:r>
        <w:t>The tags that are used are</w:t>
      </w:r>
      <w:r w:rsidR="0032525D">
        <w:t xml:space="preserve"> as follows</w:t>
      </w:r>
      <w:r>
        <w:t>:</w:t>
      </w:r>
    </w:p>
    <w:p w:rsidR="002B39D7" w:rsidRDefault="002B39D7" w:rsidP="002B39D7">
      <w:pPr>
        <w:pStyle w:val="ListParagraph"/>
        <w:numPr>
          <w:ilvl w:val="0"/>
          <w:numId w:val="5"/>
        </w:numPr>
      </w:pPr>
      <w:r>
        <w:t>The “alert” tag, which when set to True enables alerting for an individual resource or all resources in a resource group (see table below</w:t>
      </w:r>
      <w:r w:rsidR="0032525D">
        <w:t xml:space="preserve"> for more details</w:t>
      </w:r>
      <w:r>
        <w:t>).</w:t>
      </w:r>
    </w:p>
    <w:p w:rsidR="002B39D7" w:rsidRDefault="002B39D7" w:rsidP="002B39D7">
      <w:pPr>
        <w:pStyle w:val="ListParagraph"/>
        <w:numPr>
          <w:ilvl w:val="0"/>
          <w:numId w:val="5"/>
        </w:numPr>
      </w:pPr>
      <w:r>
        <w:lastRenderedPageBreak/>
        <w:t>The</w:t>
      </w:r>
      <w:r w:rsidR="00936017">
        <w:t xml:space="preserve"> </w:t>
      </w:r>
      <w:r>
        <w:t>“</w:t>
      </w:r>
      <w:proofErr w:type="spellStart"/>
      <w:r>
        <w:t>alertRulesExtensions</w:t>
      </w:r>
      <w:proofErr w:type="spellEnd"/>
      <w:r>
        <w:t xml:space="preserve">” tag, which defines which alert rule extension sets that should be created for a particular resource, in addition to the standard set of alert rules corresponding to the resource.  For example, the </w:t>
      </w:r>
      <w:proofErr w:type="spellStart"/>
      <w:r>
        <w:t>sqlServerIaaSLogAnalyticsQueries</w:t>
      </w:r>
      <w:proofErr w:type="spellEnd"/>
      <w:r>
        <w:t xml:space="preserve"> extension set defines a set of alert rules for SQL Server performance metrics.</w:t>
      </w:r>
    </w:p>
    <w:p w:rsidR="002B39D7" w:rsidRDefault="0032525D" w:rsidP="002B39D7">
      <w:pPr>
        <w:pStyle w:val="ListParagraph"/>
        <w:numPr>
          <w:ilvl w:val="0"/>
          <w:numId w:val="5"/>
        </w:numPr>
      </w:pPr>
      <w:r>
        <w:t>The “</w:t>
      </w:r>
      <w:proofErr w:type="spellStart"/>
      <w:r>
        <w:t>alertActions</w:t>
      </w:r>
      <w:proofErr w:type="spellEnd"/>
      <w:r>
        <w:t>” tag, which defines which support teams (defined via Action Groups) should be notified for one or more alert rule sets.</w:t>
      </w:r>
      <w:r w:rsidR="00347989">
        <w:t xml:space="preserve">  This tag can be defined at the individual resource level and/or the resource group level (see table below for more details).</w:t>
      </w:r>
    </w:p>
    <w:p w:rsidR="007464B2" w:rsidRDefault="008444BF" w:rsidP="00472D17">
      <w:r>
        <w:t xml:space="preserve">For new app services or VMs experiencing too many alerts at the beginning, or for resources that require special alert trigger conditions, the alert tag can be set to False after the alert rules have been initially created in order to customize the trigger conditions without having the alert rules automatically update on the next run of the script.   Later on, if desired, the alert tag can be reset to </w:t>
      </w:r>
      <w:proofErr w:type="gramStart"/>
      <w:r>
        <w:t>True</w:t>
      </w:r>
      <w:proofErr w:type="gramEnd"/>
      <w:r>
        <w:t xml:space="preserve"> in order to have the alert rules automatically update to the default configuration.</w:t>
      </w:r>
    </w:p>
    <w:p w:rsidR="003E0A10" w:rsidRDefault="003E0A10" w:rsidP="00472D17">
      <w:r>
        <w:t>There are 3 different types of alert rules:</w:t>
      </w:r>
    </w:p>
    <w:p w:rsidR="003E0A10" w:rsidRDefault="003E0A10" w:rsidP="003E0A10">
      <w:pPr>
        <w:pStyle w:val="ListParagraph"/>
        <w:numPr>
          <w:ilvl w:val="0"/>
          <w:numId w:val="4"/>
        </w:numPr>
      </w:pPr>
      <w:r>
        <w:t>Metric alert rules based on Azure Monitor supported metrics</w:t>
      </w:r>
      <w:r w:rsidR="0032525D">
        <w:t>.  These alert rule are scoped to a particular resource (</w:t>
      </w:r>
      <w:proofErr w:type="spellStart"/>
      <w:r w:rsidR="0032525D">
        <w:t>eg</w:t>
      </w:r>
      <w:proofErr w:type="spellEnd"/>
      <w:r w:rsidR="0032525D">
        <w:t xml:space="preserve">. a particular VM, app service, application insights instance, </w:t>
      </w:r>
      <w:proofErr w:type="spellStart"/>
      <w:r w:rsidR="0032525D">
        <w:t>etc</w:t>
      </w:r>
      <w:proofErr w:type="spellEnd"/>
      <w:r w:rsidR="0032525D">
        <w:t>)</w:t>
      </w:r>
      <w:r w:rsidR="003F6552">
        <w:t>.</w:t>
      </w:r>
    </w:p>
    <w:p w:rsidR="003E0A10" w:rsidRDefault="003E0A10" w:rsidP="003E0A10">
      <w:pPr>
        <w:pStyle w:val="ListParagraph"/>
        <w:numPr>
          <w:ilvl w:val="0"/>
          <w:numId w:val="4"/>
        </w:numPr>
      </w:pPr>
      <w:r>
        <w:t>Metric alert rules based on Log Analytics Workspace metrics</w:t>
      </w:r>
      <w:r w:rsidR="0032525D">
        <w:t>.  These alert rules are scoped to the log analytics workspace that a resource is logging to.</w:t>
      </w:r>
      <w:r w:rsidR="003F6552">
        <w:t xml:space="preserve">  The names of l</w:t>
      </w:r>
      <w:r w:rsidR="00B36B06">
        <w:t xml:space="preserve">og analytics metric alert rule sets </w:t>
      </w:r>
      <w:r w:rsidR="003F6552">
        <w:t>must terminate with “</w:t>
      </w:r>
      <w:proofErr w:type="spellStart"/>
      <w:r w:rsidR="003F6552">
        <w:t>LogAnalyticsMetrics</w:t>
      </w:r>
      <w:proofErr w:type="spellEnd"/>
      <w:r w:rsidR="003F6552">
        <w:t>”.</w:t>
      </w:r>
    </w:p>
    <w:p w:rsidR="003E0A10" w:rsidRDefault="003E0A10" w:rsidP="00472D17">
      <w:pPr>
        <w:pStyle w:val="ListParagraph"/>
        <w:numPr>
          <w:ilvl w:val="0"/>
          <w:numId w:val="4"/>
        </w:numPr>
      </w:pPr>
      <w:r>
        <w:t>Log an</w:t>
      </w:r>
      <w:r w:rsidR="00691879">
        <w:t>alytics query based alert rules.</w:t>
      </w:r>
      <w:r w:rsidR="0032525D">
        <w:t xml:space="preserve">  These alert rules are scoped to the log analytics workspace that a resource is logging to.</w:t>
      </w:r>
      <w:r w:rsidR="003F6552">
        <w:t xml:space="preserve">  The names of</w:t>
      </w:r>
      <w:r w:rsidR="00B36B06">
        <w:t xml:space="preserve"> log analytics query alert rule sets</w:t>
      </w:r>
      <w:r w:rsidR="003F6552">
        <w:t xml:space="preserve"> must terminate with “</w:t>
      </w:r>
      <w:proofErr w:type="spellStart"/>
      <w:r w:rsidR="003F6552">
        <w:t>LogAnalyticsQueries</w:t>
      </w:r>
      <w:proofErr w:type="spellEnd"/>
      <w:r w:rsidR="003F6552">
        <w:t>”.</w:t>
      </w:r>
    </w:p>
    <w:p w:rsidR="00347989" w:rsidRDefault="00347989" w:rsidP="00347989">
      <w:pPr>
        <w:pStyle w:val="ListParagraph"/>
      </w:pPr>
    </w:p>
    <w:p w:rsidR="00D65DF3" w:rsidRDefault="00D65DF3" w:rsidP="00347989">
      <w:pPr>
        <w:pStyle w:val="Heading3"/>
      </w:pPr>
      <w:r>
        <w:t>Alert Rule template definitions</w:t>
      </w:r>
    </w:p>
    <w:p w:rsidR="00D65DF3" w:rsidRDefault="00765BD4" w:rsidP="00472D17">
      <w:r>
        <w:t xml:space="preserve">The solution uses </w:t>
      </w:r>
      <w:r w:rsidR="00D65DF3">
        <w:t>two Alert Rule templates defined in the templates folder:</w:t>
      </w:r>
    </w:p>
    <w:p w:rsidR="00D65DF3" w:rsidRDefault="00D65DF3" w:rsidP="00D65DF3">
      <w:pPr>
        <w:pStyle w:val="ListParagraph"/>
        <w:numPr>
          <w:ilvl w:val="0"/>
          <w:numId w:val="9"/>
        </w:numPr>
      </w:pPr>
      <w:proofErr w:type="gramStart"/>
      <w:r>
        <w:t>metric-alert-rule-</w:t>
      </w:r>
      <w:proofErr w:type="spellStart"/>
      <w:r>
        <w:t>template.json</w:t>
      </w:r>
      <w:proofErr w:type="spellEnd"/>
      <w:proofErr w:type="gramEnd"/>
      <w:r>
        <w:t xml:space="preserve"> which is a param</w:t>
      </w:r>
      <w:r w:rsidR="00347989">
        <w:t xml:space="preserve">eterized ARM template for creating </w:t>
      </w:r>
      <w:r w:rsidR="00B36B06">
        <w:t>both regular metric alert rules and log analytics metric alert rules.</w:t>
      </w:r>
    </w:p>
    <w:p w:rsidR="00347989" w:rsidRDefault="00347989" w:rsidP="00D65DF3">
      <w:pPr>
        <w:pStyle w:val="ListParagraph"/>
        <w:numPr>
          <w:ilvl w:val="0"/>
          <w:numId w:val="9"/>
        </w:numPr>
      </w:pPr>
      <w:proofErr w:type="gramStart"/>
      <w:r>
        <w:t>log-analytics-query-alert-rule-</w:t>
      </w:r>
      <w:proofErr w:type="spellStart"/>
      <w:r>
        <w:t>template.json</w:t>
      </w:r>
      <w:proofErr w:type="spellEnd"/>
      <w:proofErr w:type="gramEnd"/>
      <w:r>
        <w:t xml:space="preserve"> which is a parameterized ARM template for creating log analytics query based alert rules</w:t>
      </w:r>
      <w:r w:rsidR="00B36B06">
        <w:t>.</w:t>
      </w:r>
    </w:p>
    <w:p w:rsidR="00347989" w:rsidRDefault="00347989" w:rsidP="00347989">
      <w:pPr>
        <w:pStyle w:val="ListParagraph"/>
      </w:pPr>
    </w:p>
    <w:p w:rsidR="003E16DA" w:rsidRDefault="003E16DA" w:rsidP="00D65DF3">
      <w:pPr>
        <w:pStyle w:val="Heading3"/>
      </w:pPr>
      <w:r>
        <w:t>Alert Rule set definitions</w:t>
      </w:r>
    </w:p>
    <w:p w:rsidR="003E16DA" w:rsidRDefault="003E16DA" w:rsidP="00472D17">
      <w:r>
        <w:t>The</w:t>
      </w:r>
      <w:r w:rsidR="008444BF">
        <w:t xml:space="preserve"> default</w:t>
      </w:r>
      <w:r>
        <w:t xml:space="preserve"> trigger conditions for alert rules</w:t>
      </w:r>
      <w:r w:rsidR="00765BD4">
        <w:t xml:space="preserve"> and other alert related parameter values</w:t>
      </w:r>
      <w:r>
        <w:t xml:space="preserve"> are stored in JSON parameter files, and referenced when deploying the alert rule ARM template</w:t>
      </w:r>
      <w:r w:rsidR="00765BD4">
        <w:t>s</w:t>
      </w:r>
      <w:r>
        <w:t>.</w:t>
      </w:r>
    </w:p>
    <w:p w:rsidR="007A2712" w:rsidRDefault="007A2712" w:rsidP="00472D17"/>
    <w:p w:rsidR="007A2712" w:rsidRDefault="007A2712" w:rsidP="00472D17"/>
    <w:p w:rsidR="00765BD4" w:rsidRDefault="004B0A36" w:rsidP="00765BD4">
      <w:pPr>
        <w:pStyle w:val="Heading3"/>
      </w:pPr>
      <w:r>
        <w:t>File structure in Git</w:t>
      </w:r>
    </w:p>
    <w:p w:rsidR="003E16DA" w:rsidRDefault="003E16DA" w:rsidP="00765BD4">
      <w:pPr>
        <w:keepNext/>
        <w:keepLines/>
      </w:pPr>
      <w:r>
        <w:t>The</w:t>
      </w:r>
      <w:r w:rsidR="00D65DF3">
        <w:t xml:space="preserve"> alert rule JSON parameter files are organized </w:t>
      </w:r>
      <w:r>
        <w:t>in</w:t>
      </w:r>
      <w:r w:rsidR="00D65DF3">
        <w:t>to</w:t>
      </w:r>
      <w:r>
        <w:t xml:space="preserve"> </w:t>
      </w:r>
      <w:r w:rsidR="00D65DF3">
        <w:t>folders matching the name of the corresponding alert rule set, as shown below:</w:t>
      </w:r>
    </w:p>
    <w:p w:rsidR="003E16DA" w:rsidRDefault="00D65DF3" w:rsidP="00765BD4">
      <w:pPr>
        <w:keepNext/>
        <w:keepLines/>
        <w:spacing w:after="0"/>
        <w:ind w:left="54"/>
      </w:pPr>
      <w:proofErr w:type="gramStart"/>
      <w:r>
        <w:lastRenderedPageBreak/>
        <w:t>l</w:t>
      </w:r>
      <w:r w:rsidR="003E16DA">
        <w:t>og</w:t>
      </w:r>
      <w:r>
        <w:t>-analytics-query-alert-rules</w:t>
      </w:r>
      <w:proofErr w:type="gramEnd"/>
    </w:p>
    <w:p w:rsidR="00D65DF3" w:rsidRDefault="00D65DF3" w:rsidP="00765BD4">
      <w:pPr>
        <w:keepNext/>
        <w:keepLines/>
        <w:spacing w:after="0"/>
        <w:ind w:left="54"/>
      </w:pPr>
      <w:r>
        <w:tab/>
      </w:r>
      <w:proofErr w:type="spellStart"/>
      <w:proofErr w:type="gramStart"/>
      <w:r>
        <w:t>sqlServerIaaSLogAnalyticsQueries</w:t>
      </w:r>
      <w:proofErr w:type="spellEnd"/>
      <w:proofErr w:type="gramEnd"/>
    </w:p>
    <w:p w:rsidR="00D65DF3" w:rsidRDefault="00D65DF3" w:rsidP="00765BD4">
      <w:pPr>
        <w:keepNext/>
        <w:keepLines/>
        <w:spacing w:after="0"/>
        <w:ind w:left="54"/>
      </w:pPr>
      <w:r>
        <w:tab/>
      </w:r>
      <w:r>
        <w:tab/>
      </w:r>
      <w:proofErr w:type="gramStart"/>
      <w:r>
        <w:t>lock-wait-</w:t>
      </w:r>
      <w:proofErr w:type="spellStart"/>
      <w:r>
        <w:t>time.json</w:t>
      </w:r>
      <w:proofErr w:type="spellEnd"/>
      <w:proofErr w:type="gramEnd"/>
    </w:p>
    <w:p w:rsidR="00D65DF3" w:rsidRDefault="00D65DF3" w:rsidP="00765BD4">
      <w:pPr>
        <w:keepNext/>
        <w:keepLines/>
        <w:spacing w:after="0"/>
        <w:ind w:left="54"/>
      </w:pPr>
      <w:r>
        <w:tab/>
      </w:r>
      <w:r>
        <w:tab/>
        <w:t>…</w:t>
      </w:r>
    </w:p>
    <w:p w:rsidR="00765BD4" w:rsidRDefault="007A2712" w:rsidP="007A2712">
      <w:pPr>
        <w:keepNext/>
        <w:keepLines/>
        <w:spacing w:after="0"/>
        <w:ind w:left="54" w:firstLine="666"/>
      </w:pPr>
      <w:proofErr w:type="spellStart"/>
      <w:proofErr w:type="gramStart"/>
      <w:r>
        <w:t>linuxVMStandard</w:t>
      </w:r>
      <w:r w:rsidR="00765BD4">
        <w:t>LogAnalyticsQueries</w:t>
      </w:r>
      <w:proofErr w:type="spellEnd"/>
      <w:proofErr w:type="gramEnd"/>
    </w:p>
    <w:p w:rsidR="007A2712" w:rsidRDefault="007A2712" w:rsidP="007A2712">
      <w:pPr>
        <w:keepNext/>
        <w:keepLines/>
        <w:spacing w:after="0"/>
        <w:ind w:left="54" w:firstLine="666"/>
      </w:pPr>
      <w:r>
        <w:tab/>
      </w:r>
      <w:proofErr w:type="gramStart"/>
      <w:r>
        <w:t>syslog-</w:t>
      </w:r>
      <w:proofErr w:type="spellStart"/>
      <w:r>
        <w:t>errors.json</w:t>
      </w:r>
      <w:proofErr w:type="spellEnd"/>
      <w:proofErr w:type="gramEnd"/>
    </w:p>
    <w:p w:rsidR="007A2712" w:rsidRDefault="007A2712" w:rsidP="007A2712">
      <w:pPr>
        <w:keepNext/>
        <w:keepLines/>
        <w:spacing w:after="0"/>
        <w:ind w:left="54" w:firstLine="666"/>
      </w:pPr>
      <w:r>
        <w:tab/>
        <w:t>…</w:t>
      </w:r>
    </w:p>
    <w:p w:rsidR="007A2712" w:rsidRDefault="007A2712" w:rsidP="007A2712">
      <w:pPr>
        <w:keepNext/>
        <w:keepLines/>
        <w:spacing w:after="0"/>
        <w:ind w:left="54" w:firstLine="666"/>
      </w:pPr>
      <w:proofErr w:type="spellStart"/>
      <w:proofErr w:type="gramStart"/>
      <w:r>
        <w:t>windows</w:t>
      </w:r>
      <w:r>
        <w:t>VMStandardLogAnalyticsQueries</w:t>
      </w:r>
      <w:proofErr w:type="spellEnd"/>
      <w:proofErr w:type="gramEnd"/>
    </w:p>
    <w:p w:rsidR="007A2712" w:rsidRDefault="007A2712" w:rsidP="007A2712">
      <w:pPr>
        <w:keepNext/>
        <w:keepLines/>
        <w:spacing w:after="0"/>
        <w:ind w:left="54" w:firstLine="666"/>
      </w:pPr>
      <w:r>
        <w:tab/>
      </w:r>
      <w:proofErr w:type="spellStart"/>
      <w:proofErr w:type="gramStart"/>
      <w:r>
        <w:t>netlogon-failure.json</w:t>
      </w:r>
      <w:proofErr w:type="spellEnd"/>
      <w:proofErr w:type="gramEnd"/>
    </w:p>
    <w:p w:rsidR="007A2712" w:rsidRDefault="007A2712" w:rsidP="007A2712">
      <w:pPr>
        <w:keepNext/>
        <w:keepLines/>
        <w:spacing w:after="0"/>
        <w:ind w:left="54" w:firstLine="666"/>
      </w:pPr>
      <w:r>
        <w:tab/>
        <w:t>…</w:t>
      </w:r>
    </w:p>
    <w:p w:rsidR="003E16DA" w:rsidRDefault="003E16DA" w:rsidP="00765BD4">
      <w:pPr>
        <w:keepNext/>
        <w:keepLines/>
        <w:spacing w:after="0"/>
        <w:ind w:left="54"/>
      </w:pPr>
      <w:proofErr w:type="gramStart"/>
      <w:r>
        <w:t>metric-alert-rules</w:t>
      </w:r>
      <w:proofErr w:type="gramEnd"/>
    </w:p>
    <w:p w:rsidR="003E16DA" w:rsidRDefault="003E16DA" w:rsidP="00765BD4">
      <w:pPr>
        <w:keepNext/>
        <w:keepLines/>
        <w:spacing w:after="0"/>
        <w:ind w:left="720"/>
      </w:pPr>
      <w:proofErr w:type="spellStart"/>
      <w:proofErr w:type="gramStart"/>
      <w:r>
        <w:t>windowsVMStandard</w:t>
      </w:r>
      <w:r w:rsidR="00765BD4">
        <w:t>LogAnalyticsMetrics</w:t>
      </w:r>
      <w:proofErr w:type="spellEnd"/>
      <w:proofErr w:type="gramEnd"/>
    </w:p>
    <w:p w:rsidR="003E16DA" w:rsidRDefault="003E16DA" w:rsidP="00765BD4">
      <w:pPr>
        <w:keepNext/>
        <w:keepLines/>
        <w:spacing w:after="0"/>
        <w:ind w:left="720"/>
      </w:pPr>
      <w:r>
        <w:tab/>
      </w:r>
      <w:proofErr w:type="gramStart"/>
      <w:r>
        <w:t>low-memory-</w:t>
      </w:r>
      <w:proofErr w:type="spellStart"/>
      <w:r>
        <w:t>alert.json</w:t>
      </w:r>
      <w:proofErr w:type="spellEnd"/>
      <w:proofErr w:type="gramEnd"/>
    </w:p>
    <w:p w:rsidR="003E16DA" w:rsidRDefault="003E16DA" w:rsidP="00765BD4">
      <w:pPr>
        <w:keepNext/>
        <w:keepLines/>
        <w:spacing w:after="0"/>
        <w:ind w:left="720"/>
      </w:pPr>
      <w:r>
        <w:tab/>
      </w:r>
      <w:proofErr w:type="gramStart"/>
      <w:r>
        <w:t>low-disk-</w:t>
      </w:r>
      <w:proofErr w:type="spellStart"/>
      <w:r>
        <w:t>space.json</w:t>
      </w:r>
      <w:proofErr w:type="spellEnd"/>
      <w:proofErr w:type="gramEnd"/>
    </w:p>
    <w:p w:rsidR="003E16DA" w:rsidRDefault="003E16DA" w:rsidP="00765BD4">
      <w:pPr>
        <w:keepNext/>
        <w:keepLines/>
        <w:spacing w:after="0"/>
        <w:ind w:left="720"/>
      </w:pPr>
      <w:r>
        <w:tab/>
        <w:t>…</w:t>
      </w:r>
    </w:p>
    <w:p w:rsidR="00D65DF3" w:rsidRDefault="00D65DF3" w:rsidP="00765BD4">
      <w:pPr>
        <w:keepNext/>
        <w:keepLines/>
        <w:spacing w:after="0"/>
        <w:ind w:left="720"/>
      </w:pPr>
      <w:proofErr w:type="spellStart"/>
      <w:proofErr w:type="gramStart"/>
      <w:r>
        <w:t>linuxVMStandard</w:t>
      </w:r>
      <w:r w:rsidR="00765BD4">
        <w:t>LogAnalyticsMetrics</w:t>
      </w:r>
      <w:proofErr w:type="spellEnd"/>
      <w:proofErr w:type="gramEnd"/>
    </w:p>
    <w:p w:rsidR="00D65DF3" w:rsidRDefault="00D65DF3" w:rsidP="00765BD4">
      <w:pPr>
        <w:keepNext/>
        <w:keepLines/>
        <w:spacing w:after="0"/>
        <w:ind w:left="720"/>
      </w:pPr>
      <w:r>
        <w:tab/>
      </w:r>
      <w:proofErr w:type="gramStart"/>
      <w:r>
        <w:t>low-memory-</w:t>
      </w:r>
      <w:proofErr w:type="spellStart"/>
      <w:r>
        <w:t>alert.json</w:t>
      </w:r>
      <w:proofErr w:type="spellEnd"/>
      <w:proofErr w:type="gramEnd"/>
    </w:p>
    <w:p w:rsidR="00D65DF3" w:rsidRDefault="00D65DF3" w:rsidP="00765BD4">
      <w:pPr>
        <w:keepNext/>
        <w:keepLines/>
        <w:spacing w:after="0"/>
        <w:ind w:left="720"/>
      </w:pPr>
      <w:r>
        <w:tab/>
      </w:r>
      <w:proofErr w:type="gramStart"/>
      <w:r>
        <w:t>low-disk-</w:t>
      </w:r>
      <w:proofErr w:type="spellStart"/>
      <w:r>
        <w:t>space.json</w:t>
      </w:r>
      <w:proofErr w:type="spellEnd"/>
      <w:proofErr w:type="gramEnd"/>
    </w:p>
    <w:p w:rsidR="00D65DF3" w:rsidRDefault="00D65DF3" w:rsidP="00765BD4">
      <w:pPr>
        <w:keepNext/>
        <w:keepLines/>
        <w:spacing w:after="0"/>
        <w:ind w:left="720"/>
      </w:pPr>
      <w:r>
        <w:tab/>
        <w:t>…</w:t>
      </w:r>
    </w:p>
    <w:p w:rsidR="003E16DA" w:rsidRDefault="00D65DF3" w:rsidP="00765BD4">
      <w:pPr>
        <w:keepNext/>
        <w:keepLines/>
        <w:spacing w:after="0"/>
        <w:ind w:left="720"/>
      </w:pPr>
      <w:r>
        <w:t>…</w:t>
      </w:r>
      <w:r w:rsidR="003E16DA">
        <w:tab/>
      </w:r>
    </w:p>
    <w:p w:rsidR="004A2FD3" w:rsidRDefault="004A2FD3" w:rsidP="00472D17">
      <w:proofErr w:type="gramStart"/>
      <w:r>
        <w:t>templates</w:t>
      </w:r>
      <w:proofErr w:type="gramEnd"/>
    </w:p>
    <w:p w:rsidR="004A2FD3" w:rsidRDefault="004A2FD3" w:rsidP="00472D17">
      <w:r>
        <w:tab/>
      </w:r>
      <w:proofErr w:type="gramStart"/>
      <w:r>
        <w:t>metric-alert-rule-</w:t>
      </w:r>
      <w:proofErr w:type="spellStart"/>
      <w:r>
        <w:t>template.json</w:t>
      </w:r>
      <w:proofErr w:type="spellEnd"/>
      <w:proofErr w:type="gramEnd"/>
    </w:p>
    <w:p w:rsidR="004A2FD3" w:rsidRDefault="004A2FD3" w:rsidP="00472D17">
      <w:r>
        <w:tab/>
      </w:r>
      <w:proofErr w:type="gramStart"/>
      <w:r>
        <w:t>log-analytics-query-alert-rule-</w:t>
      </w:r>
      <w:proofErr w:type="spellStart"/>
      <w:r>
        <w:t>template.json</w:t>
      </w:r>
      <w:proofErr w:type="spellEnd"/>
      <w:proofErr w:type="gramEnd"/>
    </w:p>
    <w:p w:rsidR="004A2FD3" w:rsidRDefault="004A2FD3" w:rsidP="00472D17"/>
    <w:p w:rsidR="004A2FD3" w:rsidRDefault="004A2FD3" w:rsidP="00472D17">
      <w:r>
        <w:t>Although the script itself is stored in the</w:t>
      </w:r>
      <w:r w:rsidR="004B0A36">
        <w:t xml:space="preserve"> </w:t>
      </w:r>
      <w:proofErr w:type="spellStart"/>
      <w:r w:rsidR="004B0A36">
        <w:t>Git</w:t>
      </w:r>
      <w:proofErr w:type="spellEnd"/>
      <w:r>
        <w:t xml:space="preserve"> repo and pulled by the runbook, it is not actually used for security </w:t>
      </w:r>
      <w:r w:rsidR="004B0A36">
        <w:t>reasons (in case an unauthorized</w:t>
      </w:r>
      <w:r>
        <w:t xml:space="preserve"> change was made to the repo</w:t>
      </w:r>
      <w:r w:rsidR="004B0A36">
        <w:t xml:space="preserve"> that could delete resource in the TBS </w:t>
      </w:r>
      <w:proofErr w:type="gramStart"/>
      <w:r w:rsidR="004B0A36">
        <w:t>subscription</w:t>
      </w:r>
      <w:bookmarkStart w:id="0" w:name="_GoBack"/>
      <w:bookmarkEnd w:id="0"/>
      <w:r w:rsidR="004B0A36">
        <w:t xml:space="preserve"> </w:t>
      </w:r>
      <w:r>
        <w:t>)</w:t>
      </w:r>
      <w:proofErr w:type="gramEnd"/>
      <w:r>
        <w:t>.</w:t>
      </w:r>
      <w:r w:rsidR="004B0A36">
        <w:t xml:space="preserve">  The script that is run is the one directly associated to the runbook.</w:t>
      </w:r>
    </w:p>
    <w:p w:rsidR="007A2712" w:rsidRDefault="00B36B06" w:rsidP="00472D17">
      <w:r>
        <w:t xml:space="preserve">The </w:t>
      </w:r>
      <w:r w:rsidR="004A2FD3">
        <w:t xml:space="preserve">Azure Automation </w:t>
      </w:r>
      <w:proofErr w:type="spellStart"/>
      <w:r>
        <w:t>powershell</w:t>
      </w:r>
      <w:proofErr w:type="spellEnd"/>
      <w:r>
        <w:t xml:space="preserve"> runbook</w:t>
      </w:r>
      <w:r w:rsidR="004A2FD3">
        <w:t xml:space="preserve"> will</w:t>
      </w:r>
      <w:r>
        <w:t>:</w:t>
      </w:r>
    </w:p>
    <w:p w:rsidR="004A2FD3" w:rsidRDefault="004A2FD3" w:rsidP="008B5280">
      <w:pPr>
        <w:pStyle w:val="ListParagraph"/>
        <w:numPr>
          <w:ilvl w:val="0"/>
          <w:numId w:val="3"/>
        </w:numPr>
      </w:pPr>
      <w:r>
        <w:t>Pull the above file structure from the GIT repo to the local filesystem temp folder (using Azure DevOps credentials stored as an Azure Automation account credential)</w:t>
      </w:r>
    </w:p>
    <w:p w:rsidR="008B5280" w:rsidRDefault="00347989" w:rsidP="008B5280">
      <w:pPr>
        <w:pStyle w:val="ListParagraph"/>
        <w:numPr>
          <w:ilvl w:val="0"/>
          <w:numId w:val="3"/>
        </w:numPr>
      </w:pPr>
      <w:r>
        <w:t>R</w:t>
      </w:r>
      <w:r w:rsidR="008B5280">
        <w:t>eads the tags of resource groups and resources within those resource groups and determines for each resource what Alert Rules sets should be created and which Action Groups should be notified based on tag settings.</w:t>
      </w:r>
    </w:p>
    <w:p w:rsidR="008B5280" w:rsidRDefault="00347989" w:rsidP="008B5280">
      <w:pPr>
        <w:pStyle w:val="ListParagraph"/>
        <w:numPr>
          <w:ilvl w:val="0"/>
          <w:numId w:val="3"/>
        </w:numPr>
      </w:pPr>
      <w:r>
        <w:t>For each Alert Rule set that applies, the</w:t>
      </w:r>
      <w:r w:rsidR="008B5280">
        <w:t xml:space="preserve"> script then loops through all Alert Rule JSON parameter files defined </w:t>
      </w:r>
      <w:r>
        <w:t xml:space="preserve">for that Alert Rule set </w:t>
      </w:r>
      <w:r w:rsidR="008B5280">
        <w:t>does an ARM template deployment for each one by passing in the JSON parameter file and</w:t>
      </w:r>
      <w:r w:rsidR="00F658CA">
        <w:t xml:space="preserve"> </w:t>
      </w:r>
      <w:r>
        <w:t xml:space="preserve">the corresponding </w:t>
      </w:r>
      <w:r w:rsidR="00F658CA">
        <w:t>Action Group Ids as parameters to create the Alert Rules.</w:t>
      </w:r>
    </w:p>
    <w:p w:rsidR="00367BFF" w:rsidRDefault="00367BFF" w:rsidP="00367BFF">
      <w:pPr>
        <w:pStyle w:val="ListParagraph"/>
        <w:numPr>
          <w:ilvl w:val="0"/>
          <w:numId w:val="3"/>
        </w:numPr>
      </w:pPr>
      <w:r>
        <w:t xml:space="preserve">The </w:t>
      </w:r>
      <w:r w:rsidR="00B36B06">
        <w:t xml:space="preserve">runbook </w:t>
      </w:r>
      <w:proofErr w:type="spellStart"/>
      <w:r w:rsidR="00B36B06">
        <w:t>powershell</w:t>
      </w:r>
      <w:proofErr w:type="spellEnd"/>
      <w:r w:rsidR="00B36B06">
        <w:t xml:space="preserve"> script </w:t>
      </w:r>
      <w:r>
        <w:t>will run once a day</w:t>
      </w:r>
      <w:r w:rsidR="00B36B06">
        <w:t xml:space="preserve"> (scheduled) </w:t>
      </w:r>
      <w:r>
        <w:t xml:space="preserve">, picking up any newly </w:t>
      </w:r>
      <w:r w:rsidR="003F6552">
        <w:t>tagged</w:t>
      </w:r>
      <w:r>
        <w:t xml:space="preserve"> resources that need alert rules and rolling out any changes made to existing alert rule </w:t>
      </w:r>
      <w:r w:rsidR="00347989">
        <w:t>definitions.</w:t>
      </w:r>
    </w:p>
    <w:p w:rsidR="003E485A" w:rsidRDefault="00367BFF">
      <w:r>
        <w:t xml:space="preserve">Note that the </w:t>
      </w:r>
      <w:proofErr w:type="spellStart"/>
      <w:r>
        <w:t>powershell</w:t>
      </w:r>
      <w:proofErr w:type="spellEnd"/>
      <w:r>
        <w:t xml:space="preserve"> script will only create or update alert rules, it will not delete them, even if the “alert” tag is toggled from True to False.</w:t>
      </w:r>
      <w:r w:rsidR="00FA3E17">
        <w:t xml:space="preserve">  Alert rule deletion is anticipated to be rare, and as such will </w:t>
      </w:r>
      <w:r w:rsidR="003F6552">
        <w:t xml:space="preserve">need to </w:t>
      </w:r>
      <w:r w:rsidR="00FA3E17">
        <w:t>be done manually.</w:t>
      </w:r>
    </w:p>
    <w:p w:rsidR="00BD5548" w:rsidRDefault="00BD5548"/>
    <w:p w:rsidR="00347989" w:rsidRDefault="00347989">
      <w:pPr>
        <w:rPr>
          <w:rFonts w:asciiTheme="majorHAnsi" w:eastAsiaTheme="majorEastAsia" w:hAnsiTheme="majorHAnsi" w:cstheme="majorBidi"/>
          <w:color w:val="2E74B5" w:themeColor="accent1" w:themeShade="BF"/>
          <w:sz w:val="26"/>
          <w:szCs w:val="26"/>
        </w:rPr>
      </w:pPr>
      <w:r>
        <w:br w:type="page"/>
      </w:r>
    </w:p>
    <w:p w:rsidR="00BD5548" w:rsidRDefault="00BD5548" w:rsidP="003E485A">
      <w:pPr>
        <w:pStyle w:val="Heading2"/>
      </w:pPr>
      <w:r>
        <w:lastRenderedPageBreak/>
        <w:t>Resource Group Level</w:t>
      </w:r>
      <w:r w:rsidR="008B5280">
        <w:t xml:space="preserve"> tagging</w:t>
      </w:r>
    </w:p>
    <w:tbl>
      <w:tblPr>
        <w:tblStyle w:val="TableGrid"/>
        <w:tblW w:w="0" w:type="auto"/>
        <w:tblLook w:val="04A0" w:firstRow="1" w:lastRow="0" w:firstColumn="1" w:lastColumn="0" w:noHBand="0" w:noVBand="1"/>
      </w:tblPr>
      <w:tblGrid>
        <w:gridCol w:w="1838"/>
        <w:gridCol w:w="2990"/>
        <w:gridCol w:w="3247"/>
        <w:gridCol w:w="4820"/>
      </w:tblGrid>
      <w:tr w:rsidR="00BD5548" w:rsidTr="00347989">
        <w:tc>
          <w:tcPr>
            <w:tcW w:w="1838" w:type="dxa"/>
          </w:tcPr>
          <w:p w:rsidR="00BD5548" w:rsidRPr="0094488C" w:rsidRDefault="00BD5548" w:rsidP="00BF26FA">
            <w:pPr>
              <w:jc w:val="center"/>
              <w:rPr>
                <w:b/>
              </w:rPr>
            </w:pPr>
            <w:r w:rsidRPr="0094488C">
              <w:rPr>
                <w:b/>
              </w:rPr>
              <w:t>Tag name</w:t>
            </w:r>
          </w:p>
        </w:tc>
        <w:tc>
          <w:tcPr>
            <w:tcW w:w="2990" w:type="dxa"/>
          </w:tcPr>
          <w:p w:rsidR="00BD5548" w:rsidRPr="0094488C" w:rsidRDefault="00BD5548" w:rsidP="00BF26FA">
            <w:pPr>
              <w:jc w:val="center"/>
              <w:rPr>
                <w:b/>
              </w:rPr>
            </w:pPr>
            <w:r>
              <w:rPr>
                <w:b/>
              </w:rPr>
              <w:t>Purpose</w:t>
            </w:r>
          </w:p>
        </w:tc>
        <w:tc>
          <w:tcPr>
            <w:tcW w:w="3247" w:type="dxa"/>
          </w:tcPr>
          <w:p w:rsidR="00BD5548" w:rsidRPr="0094488C" w:rsidRDefault="00BD5548" w:rsidP="00BF26FA">
            <w:pPr>
              <w:jc w:val="center"/>
              <w:rPr>
                <w:b/>
              </w:rPr>
            </w:pPr>
            <w:r>
              <w:rPr>
                <w:b/>
              </w:rPr>
              <w:t>Format</w:t>
            </w:r>
          </w:p>
        </w:tc>
        <w:tc>
          <w:tcPr>
            <w:tcW w:w="4820" w:type="dxa"/>
          </w:tcPr>
          <w:p w:rsidR="00BD5548" w:rsidRDefault="00BD5548" w:rsidP="00BF26FA">
            <w:pPr>
              <w:jc w:val="center"/>
              <w:rPr>
                <w:b/>
              </w:rPr>
            </w:pPr>
            <w:r>
              <w:rPr>
                <w:b/>
              </w:rPr>
              <w:t>Example</w:t>
            </w:r>
          </w:p>
        </w:tc>
      </w:tr>
      <w:tr w:rsidR="00BD5548" w:rsidTr="00347989">
        <w:tc>
          <w:tcPr>
            <w:tcW w:w="1838" w:type="dxa"/>
          </w:tcPr>
          <w:p w:rsidR="00BD5548" w:rsidRDefault="00BD5548" w:rsidP="00BF26FA">
            <w:r>
              <w:t>alert</w:t>
            </w:r>
          </w:p>
        </w:tc>
        <w:tc>
          <w:tcPr>
            <w:tcW w:w="2990" w:type="dxa"/>
          </w:tcPr>
          <w:p w:rsidR="00BD5548" w:rsidRDefault="00BD5548" w:rsidP="003E485A">
            <w:r>
              <w:t xml:space="preserve">Indicates whether alerting should be enabled or disabled for all resources in the resource group.  </w:t>
            </w:r>
            <w:proofErr w:type="gramStart"/>
            <w:r w:rsidR="003E485A">
              <w:t>This  s</w:t>
            </w:r>
            <w:r>
              <w:t>etting</w:t>
            </w:r>
            <w:proofErr w:type="gramEnd"/>
            <w:r>
              <w:t xml:space="preserve"> can be overridden at the individual resource level</w:t>
            </w:r>
            <w:r w:rsidR="003E485A">
              <w:t>.</w:t>
            </w:r>
          </w:p>
        </w:tc>
        <w:tc>
          <w:tcPr>
            <w:tcW w:w="3247" w:type="dxa"/>
          </w:tcPr>
          <w:p w:rsidR="00BD5548" w:rsidRDefault="00BD5548" w:rsidP="00BF26FA">
            <w:r>
              <w:t xml:space="preserve">String, with a value of True or False </w:t>
            </w:r>
          </w:p>
          <w:p w:rsidR="00BD5548" w:rsidRDefault="00BD5548" w:rsidP="00BF26FA"/>
        </w:tc>
        <w:tc>
          <w:tcPr>
            <w:tcW w:w="4820" w:type="dxa"/>
          </w:tcPr>
          <w:p w:rsidR="00BD5548" w:rsidRDefault="00BD5548" w:rsidP="00BF26FA"/>
        </w:tc>
      </w:tr>
      <w:tr w:rsidR="00BD5548" w:rsidTr="00347989">
        <w:tc>
          <w:tcPr>
            <w:tcW w:w="1838" w:type="dxa"/>
          </w:tcPr>
          <w:p w:rsidR="00BD5548" w:rsidRDefault="00BD5548" w:rsidP="00BF26FA">
            <w:proofErr w:type="spellStart"/>
            <w:r>
              <w:t>alertActions</w:t>
            </w:r>
            <w:proofErr w:type="spellEnd"/>
          </w:p>
        </w:tc>
        <w:tc>
          <w:tcPr>
            <w:tcW w:w="2990" w:type="dxa"/>
          </w:tcPr>
          <w:p w:rsidR="00BD5548" w:rsidRDefault="00BD5548" w:rsidP="00BF26FA">
            <w:r>
              <w:t>For one or more alert rule sets, defines who should be notified if one of the alerts in the set triggers.</w:t>
            </w:r>
          </w:p>
        </w:tc>
        <w:tc>
          <w:tcPr>
            <w:tcW w:w="3247" w:type="dxa"/>
          </w:tcPr>
          <w:p w:rsidR="00BD5548" w:rsidRDefault="00BD5548" w:rsidP="00BF26FA">
            <w:r>
              <w:t>JSON string of the format:</w:t>
            </w:r>
          </w:p>
          <w:p w:rsidR="00BD5548" w:rsidRDefault="00BD5548" w:rsidP="00BF26FA"/>
          <w:p w:rsidR="00BD5548" w:rsidRDefault="00BD5548" w:rsidP="00BF26FA">
            <w:r>
              <w:t xml:space="preserve"> {</w:t>
            </w:r>
          </w:p>
          <w:p w:rsidR="00BD5548" w:rsidRDefault="00BD5548" w:rsidP="00BF26FA">
            <w:r>
              <w:t>“</w:t>
            </w:r>
            <w:r w:rsidR="00422D52">
              <w:t xml:space="preserve">comma separated </w:t>
            </w:r>
            <w:r>
              <w:t>list of alert rule set names 1”: “</w:t>
            </w:r>
            <w:r w:rsidR="00422D52">
              <w:t xml:space="preserve">comma separated </w:t>
            </w:r>
            <w:r>
              <w:t xml:space="preserve">list of action group names”, </w:t>
            </w:r>
          </w:p>
          <w:p w:rsidR="00BD5548" w:rsidRDefault="00BD5548" w:rsidP="00BF26FA"/>
          <w:p w:rsidR="00BD5548" w:rsidRDefault="00BD5548" w:rsidP="00BF26FA">
            <w:r>
              <w:t>“</w:t>
            </w:r>
            <w:r w:rsidR="00422D52">
              <w:t xml:space="preserve">comma separated </w:t>
            </w:r>
            <w:r>
              <w:t>list of alert rule set names 2”: “</w:t>
            </w:r>
            <w:r w:rsidR="00422D52">
              <w:t xml:space="preserve">comma separated </w:t>
            </w:r>
            <w:r>
              <w:t>list of action group names”,</w:t>
            </w:r>
            <w:r>
              <w:br/>
            </w:r>
          </w:p>
          <w:p w:rsidR="00BD5548" w:rsidRDefault="00BD5548" w:rsidP="00BF26FA">
            <w:r>
              <w:t>…</w:t>
            </w:r>
          </w:p>
          <w:p w:rsidR="00BD5548" w:rsidRDefault="00BD5548" w:rsidP="00BF26FA">
            <w:r>
              <w:t>}</w:t>
            </w:r>
          </w:p>
          <w:p w:rsidR="00FA3E17" w:rsidRDefault="00FA3E17" w:rsidP="00BF26FA"/>
          <w:p w:rsidR="00FA3E17" w:rsidRDefault="00FA3E17" w:rsidP="00BF26FA">
            <w:r>
              <w:t>In place of a list of alert rule set names, a wil</w:t>
            </w:r>
            <w:r w:rsidR="00422D52">
              <w:t>dcard (* character) can be used to designate “All Alert Rule Sets”.</w:t>
            </w:r>
          </w:p>
          <w:p w:rsidR="00BD5548" w:rsidRDefault="00BD5548" w:rsidP="00BF26FA"/>
          <w:p w:rsidR="00BD5548" w:rsidRDefault="00BD5548" w:rsidP="00BF26FA"/>
        </w:tc>
        <w:tc>
          <w:tcPr>
            <w:tcW w:w="4820" w:type="dxa"/>
          </w:tcPr>
          <w:p w:rsidR="00270B90" w:rsidRDefault="00270B90" w:rsidP="00BF26FA">
            <w:r>
              <w:t xml:space="preserve">An example value for the </w:t>
            </w:r>
            <w:proofErr w:type="spellStart"/>
            <w:r>
              <w:t>alertActions</w:t>
            </w:r>
            <w:proofErr w:type="spellEnd"/>
            <w:r>
              <w:t xml:space="preserve"> tag:</w:t>
            </w:r>
          </w:p>
          <w:p w:rsidR="00270B90" w:rsidRDefault="00270B90" w:rsidP="00BF26FA"/>
          <w:p w:rsidR="00BD5548" w:rsidRDefault="00BD5548" w:rsidP="00BF26FA">
            <w:r>
              <w:t>{</w:t>
            </w:r>
          </w:p>
          <w:p w:rsidR="00FA3E17" w:rsidRDefault="00FA3E17" w:rsidP="00BF26FA"/>
          <w:p w:rsidR="00FA3E17" w:rsidRDefault="00FA3E17" w:rsidP="00BF26FA">
            <w:r>
              <w:t>“*”: “Resource Group</w:t>
            </w:r>
            <w:r w:rsidR="003F6552">
              <w:t xml:space="preserve"> XYZ</w:t>
            </w:r>
            <w:r>
              <w:t xml:space="preserve"> Support Team”,</w:t>
            </w:r>
          </w:p>
          <w:p w:rsidR="00BD5548" w:rsidRDefault="00BD5548" w:rsidP="00BF26FA"/>
          <w:p w:rsidR="003F6552" w:rsidRDefault="00BD5548" w:rsidP="00BF26FA">
            <w:r>
              <w:t>“</w:t>
            </w:r>
            <w:proofErr w:type="spellStart"/>
            <w:r w:rsidR="003F6552">
              <w:t>windowsVMStandard</w:t>
            </w:r>
            <w:proofErr w:type="spellEnd"/>
            <w:r w:rsidR="003F6552">
              <w:t>,</w:t>
            </w:r>
          </w:p>
          <w:p w:rsidR="003F6552" w:rsidRDefault="00347989" w:rsidP="00BF26FA">
            <w:proofErr w:type="spellStart"/>
            <w:r>
              <w:t>linuxVM</w:t>
            </w:r>
            <w:r w:rsidR="00BD5548">
              <w:t>Standard</w:t>
            </w:r>
            <w:proofErr w:type="spellEnd"/>
            <w:r w:rsidR="003F6552">
              <w:t>,</w:t>
            </w:r>
          </w:p>
          <w:p w:rsidR="003F6552" w:rsidRDefault="003F6552" w:rsidP="00BF26FA">
            <w:proofErr w:type="spellStart"/>
            <w:r>
              <w:t>windowsVmStandardLogAnalyticsMetrics</w:t>
            </w:r>
            <w:proofErr w:type="spellEnd"/>
            <w:r>
              <w:t>,</w:t>
            </w:r>
          </w:p>
          <w:p w:rsidR="00BD5548" w:rsidRDefault="00347989" w:rsidP="00BF26FA">
            <w:proofErr w:type="spellStart"/>
            <w:r>
              <w:t>linuxVmStandard</w:t>
            </w:r>
            <w:r w:rsidR="00FA3E17">
              <w:t>LogAnalyticsMetrics</w:t>
            </w:r>
            <w:proofErr w:type="spellEnd"/>
            <w:r w:rsidR="00BD5548">
              <w:t>”</w:t>
            </w:r>
            <w:r w:rsidR="003F6552">
              <w:t>: “Infrastructure Support Team”</w:t>
            </w:r>
          </w:p>
          <w:p w:rsidR="00BD5548" w:rsidRDefault="00BD5548" w:rsidP="00BF26FA">
            <w:r>
              <w:t>}</w:t>
            </w:r>
          </w:p>
          <w:p w:rsidR="003F6552" w:rsidRDefault="003F6552" w:rsidP="00BF26FA"/>
          <w:p w:rsidR="00BD5548" w:rsidRDefault="00BD5548" w:rsidP="00BF26FA">
            <w:r>
              <w:t xml:space="preserve">In the above example the Infrastructure Support Team </w:t>
            </w:r>
            <w:r w:rsidR="00FA3E17">
              <w:t xml:space="preserve">will be notified if </w:t>
            </w:r>
            <w:r w:rsidR="003F6552">
              <w:t xml:space="preserve">one </w:t>
            </w:r>
            <w:r w:rsidR="00FA3E17">
              <w:t xml:space="preserve">of </w:t>
            </w:r>
            <w:r w:rsidR="003F6552">
              <w:t xml:space="preserve">the standard </w:t>
            </w:r>
            <w:r w:rsidR="00422D52">
              <w:t>Alert R</w:t>
            </w:r>
            <w:r w:rsidR="00FA3E17">
              <w:t xml:space="preserve">ules </w:t>
            </w:r>
            <w:r w:rsidR="003F6552">
              <w:t xml:space="preserve">for VMs </w:t>
            </w:r>
            <w:r w:rsidR="00FA3E17">
              <w:t>trigger</w:t>
            </w:r>
            <w:r w:rsidR="003F6552">
              <w:t>s</w:t>
            </w:r>
            <w:r w:rsidR="00422D52">
              <w:t xml:space="preserve"> for a</w:t>
            </w:r>
            <w:r w:rsidR="003F6552">
              <w:t>ny</w:t>
            </w:r>
            <w:r w:rsidR="00422D52">
              <w:t xml:space="preserve"> resource in the resource group</w:t>
            </w:r>
            <w:r w:rsidR="00FA3E17">
              <w:t xml:space="preserve">, and the Resource Group </w:t>
            </w:r>
            <w:r w:rsidR="003F6552">
              <w:t xml:space="preserve">XYZ </w:t>
            </w:r>
            <w:r w:rsidR="00FA3E17">
              <w:t xml:space="preserve">Support Team </w:t>
            </w:r>
            <w:r w:rsidR="00422D52">
              <w:t>will be notified if any Alert Rule for any resource in the resource group triggers.</w:t>
            </w:r>
          </w:p>
          <w:p w:rsidR="00FA3E17" w:rsidRDefault="00FA3E17" w:rsidP="00BF26FA"/>
          <w:p w:rsidR="00FA3E17" w:rsidRDefault="00FA3E17" w:rsidP="00BF26FA"/>
          <w:p w:rsidR="00BD5548" w:rsidRDefault="00BD5548" w:rsidP="00BF26FA"/>
        </w:tc>
      </w:tr>
    </w:tbl>
    <w:p w:rsidR="00BD5548" w:rsidRDefault="00BD5548" w:rsidP="00BD5548"/>
    <w:p w:rsidR="00BD5548" w:rsidRDefault="00BD5548"/>
    <w:p w:rsidR="0094488C" w:rsidRDefault="0094488C"/>
    <w:p w:rsidR="008B5280" w:rsidRDefault="008B5280"/>
    <w:p w:rsidR="008B5280" w:rsidRDefault="008B5280"/>
    <w:p w:rsidR="008B5280" w:rsidRPr="0094488C" w:rsidRDefault="008B5280" w:rsidP="008B5280">
      <w:pPr>
        <w:pStyle w:val="Heading2"/>
      </w:pPr>
      <w:r w:rsidRPr="0094488C">
        <w:t>Resource Level</w:t>
      </w:r>
      <w:r>
        <w:t xml:space="preserve"> tagging</w:t>
      </w:r>
    </w:p>
    <w:p w:rsidR="008B5280" w:rsidRDefault="008B5280" w:rsidP="008B5280"/>
    <w:tbl>
      <w:tblPr>
        <w:tblStyle w:val="TableGrid"/>
        <w:tblW w:w="0" w:type="auto"/>
        <w:tblLook w:val="04A0" w:firstRow="1" w:lastRow="0" w:firstColumn="1" w:lastColumn="0" w:noHBand="0" w:noVBand="1"/>
      </w:tblPr>
      <w:tblGrid>
        <w:gridCol w:w="2292"/>
        <w:gridCol w:w="2421"/>
        <w:gridCol w:w="2227"/>
        <w:gridCol w:w="3446"/>
        <w:gridCol w:w="2564"/>
      </w:tblGrid>
      <w:tr w:rsidR="008B5280" w:rsidTr="007464B2">
        <w:tc>
          <w:tcPr>
            <w:tcW w:w="2292" w:type="dxa"/>
          </w:tcPr>
          <w:p w:rsidR="008B5280" w:rsidRPr="0094488C" w:rsidRDefault="008B5280" w:rsidP="00BF26FA">
            <w:pPr>
              <w:jc w:val="center"/>
              <w:rPr>
                <w:b/>
              </w:rPr>
            </w:pPr>
            <w:r w:rsidRPr="0094488C">
              <w:rPr>
                <w:b/>
              </w:rPr>
              <w:t>Tag name</w:t>
            </w:r>
          </w:p>
        </w:tc>
        <w:tc>
          <w:tcPr>
            <w:tcW w:w="2421" w:type="dxa"/>
          </w:tcPr>
          <w:p w:rsidR="008B5280" w:rsidRPr="0094488C" w:rsidRDefault="008B5280" w:rsidP="00BF26FA">
            <w:pPr>
              <w:jc w:val="center"/>
              <w:rPr>
                <w:b/>
              </w:rPr>
            </w:pPr>
            <w:r>
              <w:rPr>
                <w:b/>
              </w:rPr>
              <w:t>Purpose</w:t>
            </w:r>
          </w:p>
        </w:tc>
        <w:tc>
          <w:tcPr>
            <w:tcW w:w="2227" w:type="dxa"/>
          </w:tcPr>
          <w:p w:rsidR="008B5280" w:rsidRPr="0094488C" w:rsidRDefault="008B5280" w:rsidP="00BF26FA">
            <w:pPr>
              <w:jc w:val="center"/>
              <w:rPr>
                <w:b/>
              </w:rPr>
            </w:pPr>
            <w:r>
              <w:rPr>
                <w:b/>
              </w:rPr>
              <w:t>Format</w:t>
            </w:r>
          </w:p>
        </w:tc>
        <w:tc>
          <w:tcPr>
            <w:tcW w:w="3446" w:type="dxa"/>
          </w:tcPr>
          <w:p w:rsidR="008B5280" w:rsidRDefault="008B5280" w:rsidP="00BF26FA">
            <w:pPr>
              <w:jc w:val="center"/>
              <w:rPr>
                <w:b/>
              </w:rPr>
            </w:pPr>
            <w:r>
              <w:rPr>
                <w:b/>
              </w:rPr>
              <w:t>Example</w:t>
            </w:r>
          </w:p>
        </w:tc>
        <w:tc>
          <w:tcPr>
            <w:tcW w:w="2564" w:type="dxa"/>
          </w:tcPr>
          <w:p w:rsidR="008B5280" w:rsidRPr="0094488C" w:rsidRDefault="001D519E" w:rsidP="00BF26FA">
            <w:pPr>
              <w:jc w:val="center"/>
              <w:rPr>
                <w:b/>
              </w:rPr>
            </w:pPr>
            <w:r>
              <w:rPr>
                <w:b/>
              </w:rPr>
              <w:t>Notes</w:t>
            </w:r>
          </w:p>
        </w:tc>
      </w:tr>
      <w:tr w:rsidR="008B5280" w:rsidTr="007464B2">
        <w:tc>
          <w:tcPr>
            <w:tcW w:w="2292" w:type="dxa"/>
          </w:tcPr>
          <w:p w:rsidR="008B5280" w:rsidRDefault="008B5280" w:rsidP="00BF26FA">
            <w:r>
              <w:t>alert</w:t>
            </w:r>
          </w:p>
        </w:tc>
        <w:tc>
          <w:tcPr>
            <w:tcW w:w="2421" w:type="dxa"/>
          </w:tcPr>
          <w:p w:rsidR="008B5280" w:rsidRDefault="008B5280" w:rsidP="00BF26FA">
            <w:r>
              <w:t>Indicates whether alerting should be enabled or disabled for the resource.  If defined, it will override the setting at the resource group level.</w:t>
            </w:r>
          </w:p>
        </w:tc>
        <w:tc>
          <w:tcPr>
            <w:tcW w:w="2227" w:type="dxa"/>
          </w:tcPr>
          <w:p w:rsidR="008B5280" w:rsidRDefault="008B5280" w:rsidP="00BF26FA">
            <w:r>
              <w:t xml:space="preserve">String, with a value of True or False </w:t>
            </w:r>
          </w:p>
          <w:p w:rsidR="008B5280" w:rsidRDefault="008B5280" w:rsidP="00BF26FA"/>
        </w:tc>
        <w:tc>
          <w:tcPr>
            <w:tcW w:w="3446" w:type="dxa"/>
          </w:tcPr>
          <w:p w:rsidR="008B5280" w:rsidRDefault="008B5280" w:rsidP="00BF26FA"/>
        </w:tc>
        <w:tc>
          <w:tcPr>
            <w:tcW w:w="2564" w:type="dxa"/>
          </w:tcPr>
          <w:p w:rsidR="008B5280" w:rsidRDefault="008B5280" w:rsidP="001D519E">
            <w:r>
              <w:t xml:space="preserve">If </w:t>
            </w:r>
            <w:r w:rsidR="001D519E">
              <w:t>not defined at the resource level, it</w:t>
            </w:r>
            <w:r>
              <w:t xml:space="preserve"> will default to the resource group’s “alert” tag value; otherwise </w:t>
            </w:r>
            <w:r w:rsidR="001D519E">
              <w:t>if the tag is not defined at either level, a</w:t>
            </w:r>
            <w:r>
              <w:t xml:space="preserve"> value of False is assumed</w:t>
            </w:r>
          </w:p>
        </w:tc>
      </w:tr>
      <w:tr w:rsidR="00FA3E17" w:rsidTr="007464B2">
        <w:tc>
          <w:tcPr>
            <w:tcW w:w="2292" w:type="dxa"/>
          </w:tcPr>
          <w:p w:rsidR="00FA3E17" w:rsidRDefault="00FA3E17" w:rsidP="00FA3E17">
            <w:proofErr w:type="spellStart"/>
            <w:r>
              <w:t>alertRuleExtensions</w:t>
            </w:r>
            <w:proofErr w:type="spellEnd"/>
          </w:p>
        </w:tc>
        <w:tc>
          <w:tcPr>
            <w:tcW w:w="2421" w:type="dxa"/>
          </w:tcPr>
          <w:p w:rsidR="00FA3E17" w:rsidRDefault="00FA3E17" w:rsidP="00FA3E17">
            <w:r>
              <w:t>Names of any additional alert rule sets (</w:t>
            </w:r>
            <w:proofErr w:type="spellStart"/>
            <w:r>
              <w:t>ie</w:t>
            </w:r>
            <w:proofErr w:type="spellEnd"/>
            <w:r>
              <w:t xml:space="preserve">. alert </w:t>
            </w:r>
            <w:r w:rsidR="00270B90">
              <w:t xml:space="preserve">rule </w:t>
            </w:r>
            <w:r>
              <w:t>extensions) that should be applied in addition to the standard set.  The standard set is deriv</w:t>
            </w:r>
            <w:r w:rsidR="00270B90">
              <w:t>ed based on resource’s resource</w:t>
            </w:r>
            <w:r>
              <w:t xml:space="preserve"> type.</w:t>
            </w:r>
          </w:p>
        </w:tc>
        <w:tc>
          <w:tcPr>
            <w:tcW w:w="2227" w:type="dxa"/>
          </w:tcPr>
          <w:p w:rsidR="00FA3E17" w:rsidRDefault="00FA3E17" w:rsidP="00FA3E17">
            <w:r>
              <w:t>Comma separated list of alert rule set names.</w:t>
            </w:r>
          </w:p>
        </w:tc>
        <w:tc>
          <w:tcPr>
            <w:tcW w:w="3446" w:type="dxa"/>
          </w:tcPr>
          <w:p w:rsidR="00FA3E17" w:rsidRDefault="00FA3E17" w:rsidP="00FA3E17">
            <w:r>
              <w:t xml:space="preserve">For example, for a VM that is running SQL Server, the value could be set to </w:t>
            </w:r>
            <w:proofErr w:type="spellStart"/>
            <w:r w:rsidRPr="00314DA8">
              <w:rPr>
                <w:b/>
              </w:rPr>
              <w:t>sqlServerIaaS</w:t>
            </w:r>
            <w:r w:rsidR="003F6552">
              <w:rPr>
                <w:b/>
              </w:rPr>
              <w:t>LogAnalyticsQuery</w:t>
            </w:r>
            <w:proofErr w:type="spellEnd"/>
            <w:r>
              <w:t xml:space="preserve"> in order to include alert</w:t>
            </w:r>
            <w:r w:rsidR="001D519E">
              <w:t>ing</w:t>
            </w:r>
            <w:r>
              <w:t xml:space="preserve"> on SQL Server</w:t>
            </w:r>
            <w:r w:rsidR="001D519E">
              <w:t xml:space="preserve"> performance</w:t>
            </w:r>
            <w:r>
              <w:t xml:space="preserve"> counters.</w:t>
            </w:r>
          </w:p>
        </w:tc>
        <w:tc>
          <w:tcPr>
            <w:tcW w:w="2564" w:type="dxa"/>
          </w:tcPr>
          <w:p w:rsidR="00FA3E17" w:rsidRDefault="001D519E" w:rsidP="00FA3E17">
            <w:r>
              <w:t>Not applicable</w:t>
            </w:r>
          </w:p>
        </w:tc>
      </w:tr>
      <w:tr w:rsidR="00422D52" w:rsidTr="007464B2">
        <w:tc>
          <w:tcPr>
            <w:tcW w:w="2292" w:type="dxa"/>
          </w:tcPr>
          <w:p w:rsidR="00422D52" w:rsidRDefault="00422D52" w:rsidP="00422D52">
            <w:proofErr w:type="spellStart"/>
            <w:r>
              <w:t>alertActions</w:t>
            </w:r>
            <w:proofErr w:type="spellEnd"/>
          </w:p>
        </w:tc>
        <w:tc>
          <w:tcPr>
            <w:tcW w:w="2421" w:type="dxa"/>
          </w:tcPr>
          <w:p w:rsidR="00422D52" w:rsidRDefault="00422D52" w:rsidP="00422D52">
            <w:r>
              <w:t>For one or more alert rule sets, defines who should be notified if one of the alert rules in the set triggers for the resource.</w:t>
            </w:r>
          </w:p>
        </w:tc>
        <w:tc>
          <w:tcPr>
            <w:tcW w:w="2227" w:type="dxa"/>
          </w:tcPr>
          <w:p w:rsidR="00422D52" w:rsidRDefault="00422D52" w:rsidP="00422D52">
            <w:r>
              <w:t>JSON string of the format:</w:t>
            </w:r>
          </w:p>
          <w:p w:rsidR="00422D52" w:rsidRDefault="00422D52" w:rsidP="00422D52"/>
          <w:p w:rsidR="00422D52" w:rsidRDefault="00422D52" w:rsidP="00422D52">
            <w:r>
              <w:t xml:space="preserve"> {</w:t>
            </w:r>
          </w:p>
          <w:p w:rsidR="00422D52" w:rsidRDefault="00422D52" w:rsidP="00422D52">
            <w:r>
              <w:t xml:space="preserve">“comma separated list of alert rule set names 1”: “comma separated list of action group names”, </w:t>
            </w:r>
          </w:p>
          <w:p w:rsidR="00422D52" w:rsidRDefault="00422D52" w:rsidP="00422D52"/>
          <w:p w:rsidR="00422D52" w:rsidRDefault="00422D52" w:rsidP="00422D52">
            <w:r>
              <w:t>“comma separated list of alert rule set names 2”: “comma separated list of action group names”,</w:t>
            </w:r>
            <w:r>
              <w:br/>
            </w:r>
          </w:p>
          <w:p w:rsidR="00422D52" w:rsidRDefault="00422D52" w:rsidP="00422D52">
            <w:r>
              <w:t>…</w:t>
            </w:r>
          </w:p>
          <w:p w:rsidR="00422D52" w:rsidRDefault="00422D52" w:rsidP="00422D52">
            <w:r>
              <w:t>}</w:t>
            </w:r>
          </w:p>
          <w:p w:rsidR="00422D52" w:rsidRDefault="00422D52" w:rsidP="00422D52"/>
          <w:p w:rsidR="00422D52" w:rsidRDefault="00422D52" w:rsidP="00422D52">
            <w:r>
              <w:t>In place of a list of alert rule set names, a wildcard (* character) can be used to designate “All Alert Rule Sets”.</w:t>
            </w:r>
          </w:p>
          <w:p w:rsidR="00422D52" w:rsidRDefault="00422D52" w:rsidP="00422D52"/>
        </w:tc>
        <w:tc>
          <w:tcPr>
            <w:tcW w:w="3446" w:type="dxa"/>
          </w:tcPr>
          <w:p w:rsidR="00270B90" w:rsidRDefault="00270B90" w:rsidP="00270B90">
            <w:r>
              <w:t xml:space="preserve">An example value for the </w:t>
            </w:r>
            <w:proofErr w:type="spellStart"/>
            <w:r>
              <w:t>alertActions</w:t>
            </w:r>
            <w:proofErr w:type="spellEnd"/>
            <w:r>
              <w:t xml:space="preserve"> tag:</w:t>
            </w:r>
          </w:p>
          <w:p w:rsidR="00270B90" w:rsidRDefault="00270B90" w:rsidP="00422D52"/>
          <w:p w:rsidR="00422D52" w:rsidRDefault="00422D52" w:rsidP="00422D52">
            <w:r>
              <w:t>{</w:t>
            </w:r>
          </w:p>
          <w:p w:rsidR="00422D52" w:rsidRDefault="00422D52" w:rsidP="00422D52"/>
          <w:p w:rsidR="00422D52" w:rsidRDefault="00422D52" w:rsidP="00422D52">
            <w:r>
              <w:t>“</w:t>
            </w:r>
            <w:proofErr w:type="spellStart"/>
            <w:r>
              <w:t>sqlServerIaas</w:t>
            </w:r>
            <w:r w:rsidR="001D519E">
              <w:t>LogAnalyticsQueries</w:t>
            </w:r>
            <w:proofErr w:type="spellEnd"/>
            <w:r>
              <w:t>”: “SQL Server Support Team”</w:t>
            </w:r>
          </w:p>
          <w:p w:rsidR="00422D52" w:rsidRDefault="00422D52" w:rsidP="00422D52"/>
          <w:p w:rsidR="00422D52" w:rsidRDefault="00422D52" w:rsidP="00422D52">
            <w:r>
              <w:t>}</w:t>
            </w:r>
          </w:p>
          <w:p w:rsidR="001D519E" w:rsidRDefault="001D519E" w:rsidP="00422D52"/>
          <w:p w:rsidR="00422D52" w:rsidRDefault="00422D52" w:rsidP="00422D52">
            <w:r>
              <w:t xml:space="preserve">In the above example the </w:t>
            </w:r>
          </w:p>
          <w:p w:rsidR="00422D52" w:rsidRDefault="00422D52" w:rsidP="00422D52">
            <w:r>
              <w:t>SQL Server Support Team is notified if one of the SQL Server Alert Rules trigger.</w:t>
            </w:r>
          </w:p>
          <w:p w:rsidR="00422D52" w:rsidRDefault="00422D52" w:rsidP="00422D52"/>
          <w:p w:rsidR="00422D52" w:rsidRDefault="00422D52" w:rsidP="00422D52"/>
          <w:p w:rsidR="00422D52" w:rsidRDefault="00422D52" w:rsidP="00422D52"/>
          <w:p w:rsidR="00422D52" w:rsidRDefault="00422D52" w:rsidP="00422D52"/>
          <w:p w:rsidR="00422D52" w:rsidRDefault="00422D52" w:rsidP="00422D52"/>
        </w:tc>
        <w:tc>
          <w:tcPr>
            <w:tcW w:w="2564" w:type="dxa"/>
          </w:tcPr>
          <w:p w:rsidR="001D519E" w:rsidRDefault="001D519E" w:rsidP="001D519E">
            <w:r>
              <w:t>Any alert actions defined in the “</w:t>
            </w:r>
            <w:proofErr w:type="spellStart"/>
            <w:r>
              <w:t>alertActions</w:t>
            </w:r>
            <w:proofErr w:type="spellEnd"/>
            <w:r>
              <w:t>” tag at the resource group level will be additive to those defined at the resource level.</w:t>
            </w:r>
          </w:p>
          <w:p w:rsidR="00422D52" w:rsidRDefault="00422D52" w:rsidP="00422D52"/>
        </w:tc>
      </w:tr>
    </w:tbl>
    <w:p w:rsidR="008B5280" w:rsidRDefault="008B5280"/>
    <w:sectPr w:rsidR="008B5280" w:rsidSect="003C48C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8C5" w:rsidRDefault="003C48C5" w:rsidP="003C48C5">
      <w:pPr>
        <w:spacing w:after="0" w:line="240" w:lineRule="auto"/>
      </w:pPr>
      <w:r>
        <w:separator/>
      </w:r>
    </w:p>
  </w:endnote>
  <w:endnote w:type="continuationSeparator" w:id="0">
    <w:p w:rsidR="003C48C5" w:rsidRDefault="003C48C5" w:rsidP="003C4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C5" w:rsidRDefault="003C48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C5" w:rsidRDefault="003C48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C5" w:rsidRDefault="003C4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8C5" w:rsidRDefault="003C48C5" w:rsidP="003C48C5">
      <w:pPr>
        <w:spacing w:after="0" w:line="240" w:lineRule="auto"/>
      </w:pPr>
      <w:r>
        <w:separator/>
      </w:r>
    </w:p>
  </w:footnote>
  <w:footnote w:type="continuationSeparator" w:id="0">
    <w:p w:rsidR="003C48C5" w:rsidRDefault="003C48C5" w:rsidP="003C48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C5" w:rsidRDefault="003C48C5" w:rsidP="003C48C5">
    <w:pPr>
      <w:pStyle w:val="Header"/>
    </w:pPr>
    <w:bookmarkStart w:id="1" w:name="TITUS1HeaderEvenPages"/>
  </w:p>
  <w:bookmarkEnd w:id="1"/>
  <w:p w:rsidR="003C48C5" w:rsidRDefault="003C48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C5" w:rsidRDefault="003C48C5" w:rsidP="003C48C5">
    <w:pPr>
      <w:pStyle w:val="Header"/>
    </w:pPr>
    <w:bookmarkStart w:id="2" w:name="TITUS1HeaderPrimary"/>
  </w:p>
  <w:bookmarkEnd w:id="2"/>
  <w:p w:rsidR="003C48C5" w:rsidRDefault="003C48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C5" w:rsidRDefault="003C48C5" w:rsidP="003C48C5">
    <w:pPr>
      <w:pStyle w:val="Header"/>
    </w:pPr>
    <w:bookmarkStart w:id="3" w:name="TITUS1HeaderFirstPage"/>
  </w:p>
  <w:bookmarkEnd w:id="3"/>
  <w:p w:rsidR="003C48C5" w:rsidRDefault="003C48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8F1"/>
    <w:multiLevelType w:val="hybridMultilevel"/>
    <w:tmpl w:val="100E67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D603D7"/>
    <w:multiLevelType w:val="hybridMultilevel"/>
    <w:tmpl w:val="D996F140"/>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2" w15:restartNumberingAfterBreak="0">
    <w:nsid w:val="0F15549A"/>
    <w:multiLevelType w:val="hybridMultilevel"/>
    <w:tmpl w:val="CFB019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541DC2"/>
    <w:multiLevelType w:val="hybridMultilevel"/>
    <w:tmpl w:val="C28CF3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DD2C8E"/>
    <w:multiLevelType w:val="hybridMultilevel"/>
    <w:tmpl w:val="19BCBA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0B2E9F"/>
    <w:multiLevelType w:val="hybridMultilevel"/>
    <w:tmpl w:val="8F92704E"/>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6" w15:restartNumberingAfterBreak="0">
    <w:nsid w:val="3CEB493F"/>
    <w:multiLevelType w:val="hybridMultilevel"/>
    <w:tmpl w:val="856616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69683D"/>
    <w:multiLevelType w:val="hybridMultilevel"/>
    <w:tmpl w:val="821CD12C"/>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8" w15:restartNumberingAfterBreak="0">
    <w:nsid w:val="61DE5F60"/>
    <w:multiLevelType w:val="hybridMultilevel"/>
    <w:tmpl w:val="40C88664"/>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3"/>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8C"/>
    <w:rsid w:val="00072804"/>
    <w:rsid w:val="000756D7"/>
    <w:rsid w:val="000C05A3"/>
    <w:rsid w:val="001D519E"/>
    <w:rsid w:val="0023434B"/>
    <w:rsid w:val="00270B90"/>
    <w:rsid w:val="002B39D7"/>
    <w:rsid w:val="002F5DF8"/>
    <w:rsid w:val="00314DA8"/>
    <w:rsid w:val="0032525D"/>
    <w:rsid w:val="00347989"/>
    <w:rsid w:val="00367BFF"/>
    <w:rsid w:val="003C48C5"/>
    <w:rsid w:val="003E0A10"/>
    <w:rsid w:val="003E16DA"/>
    <w:rsid w:val="003E485A"/>
    <w:rsid w:val="003F6552"/>
    <w:rsid w:val="00422D52"/>
    <w:rsid w:val="00432583"/>
    <w:rsid w:val="00441B1F"/>
    <w:rsid w:val="00472D17"/>
    <w:rsid w:val="00481863"/>
    <w:rsid w:val="004A2FD3"/>
    <w:rsid w:val="004B0A36"/>
    <w:rsid w:val="0052192B"/>
    <w:rsid w:val="00691879"/>
    <w:rsid w:val="007464B2"/>
    <w:rsid w:val="00765BD4"/>
    <w:rsid w:val="007A2712"/>
    <w:rsid w:val="008444BF"/>
    <w:rsid w:val="008B5280"/>
    <w:rsid w:val="00936017"/>
    <w:rsid w:val="0094488C"/>
    <w:rsid w:val="00B36B06"/>
    <w:rsid w:val="00BC368A"/>
    <w:rsid w:val="00BD5548"/>
    <w:rsid w:val="00C344B4"/>
    <w:rsid w:val="00CC29FE"/>
    <w:rsid w:val="00D65DF3"/>
    <w:rsid w:val="00E94B15"/>
    <w:rsid w:val="00F658CA"/>
    <w:rsid w:val="00FA3E17"/>
    <w:rsid w:val="00FA738C"/>
    <w:rsid w:val="00FC60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2B813-9D57-489C-B0B0-77594079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4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8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5D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4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4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C5"/>
  </w:style>
  <w:style w:type="paragraph" w:styleId="Footer">
    <w:name w:val="footer"/>
    <w:basedOn w:val="Normal"/>
    <w:link w:val="FooterChar"/>
    <w:uiPriority w:val="99"/>
    <w:unhideWhenUsed/>
    <w:rsid w:val="003C4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C5"/>
  </w:style>
  <w:style w:type="character" w:customStyle="1" w:styleId="Heading2Char">
    <w:name w:val="Heading 2 Char"/>
    <w:basedOn w:val="DefaultParagraphFont"/>
    <w:link w:val="Heading2"/>
    <w:uiPriority w:val="9"/>
    <w:rsid w:val="003E485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E48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485A"/>
    <w:pPr>
      <w:ind w:left="720"/>
      <w:contextualSpacing/>
    </w:pPr>
  </w:style>
  <w:style w:type="character" w:customStyle="1" w:styleId="Heading3Char">
    <w:name w:val="Heading 3 Char"/>
    <w:basedOn w:val="DefaultParagraphFont"/>
    <w:link w:val="Heading3"/>
    <w:uiPriority w:val="9"/>
    <w:rsid w:val="00D65DF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7A12C-1ECF-4168-BF93-9B2573A13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7</Pages>
  <Words>1489</Words>
  <Characters>8029</Characters>
  <Application>Microsoft Office Word</Application>
  <DocSecurity>0</DocSecurity>
  <Lines>273</Lines>
  <Paragraphs>118</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Cummins, Terence</dc:creator>
  <cp:keywords/>
  <dc:description/>
  <cp:lastModifiedBy>Cummins, Terence</cp:lastModifiedBy>
  <cp:revision>17</cp:revision>
  <dcterms:created xsi:type="dcterms:W3CDTF">2019-07-12T19:43:00Z</dcterms:created>
  <dcterms:modified xsi:type="dcterms:W3CDTF">2019-08-21T15:43:00Z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0704da3c-470e-4d5d-a917-7adf67a46790</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