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押运车辆与装备管理规定</w:t>
      </w:r>
    </w:p>
    <w:p>
      <w:pPr>
        <w:jc w:val="center"/>
      </w:pPr>
      <w:r>
        <w:rPr>
          <w:color w:val="646464"/>
          <w:sz w:val="22"/>
        </w:rPr>
        <w:t>文件编号：AW-CLZB-2024-003</w:t>
        <w:br/>
        <w:t>版本号：V2.5</w:t>
        <w:br/>
        <w:t>生效日期：2024年3月1日</w:t>
        <w:br/>
        <w:t>密级：内部资料</w:t>
      </w:r>
    </w:p>
    <w:p>
      <w:pPr>
        <w:pStyle w:val="Heading1"/>
      </w:pPr>
      <w:r>
        <w:t>第一章 总则</w:t>
      </w:r>
    </w:p>
    <w:p>
      <w:pPr>
        <w:pStyle w:val="Heading2"/>
      </w:pPr>
      <w:r>
        <w:t>1.1 目的</w:t>
      </w:r>
    </w:p>
    <w:p>
      <w:r>
        <w:t>为加强押运车辆和随车装备的管理，确保车辆装备处于良好技术状态，保障押运任务安全顺利完成，延长车辆使用寿命，降低运营成本，根据《机动车运行安全技术条件》（GB7258）《专用运钞车防护技术要求》及公司管理实际，制定本规定。本规定适用于公司所有押运车辆及随车装备的管理。</w:t>
      </w:r>
    </w:p>
    <w:p>
      <w:pPr>
        <w:pStyle w:val="Heading2"/>
      </w:pPr>
      <w:r>
        <w:t>1.2 管理职责</w:t>
      </w:r>
    </w:p>
    <w:p>
      <w:r>
        <w:t>公司车辆管理部负责押运车辆的统一管理工作，包括车辆调配、保养维修计划制定、保险年检办理、报废处置审批等。各押运大队负责本大队车辆的日常管理和使用，指定专人负责车辆管理台账。押运驾驶员负责所驾车辆的日常检查和维护，是车辆日常管理的直接责任人。押运组长负责随车装备的管理和检查，确保装备齐全完好。</w:t>
      </w:r>
    </w:p>
    <w:p>
      <w:pPr>
        <w:pStyle w:val="Heading1"/>
      </w:pPr>
      <w:r>
        <w:t>第二章 押运车辆日常检查制度</w:t>
      </w:r>
    </w:p>
    <w:p>
      <w:pPr>
        <w:pStyle w:val="Heading2"/>
      </w:pPr>
      <w:r>
        <w:t>2.1 出车前检查</w:t>
      </w:r>
    </w:p>
    <w:p>
      <w:r>
        <w:t>每次出车前，驾驶员须提前三十分钟到达停车场，对车辆进行以下检查并填写《出车前检查表》：</w:t>
      </w:r>
    </w:p>
    <w:p>
      <w:r>
        <w:t>一、发动机系统：检查机油液面高度（拔出机油尺检查，液面应在上下刻度线之间）、冷却液液面（膨胀壶液面应在MAX和MIN之间）、制动液液面（制动液壶液面应正常）、转向助力油液面；启动发动机检查运转是否平稳，有无异响、冒烟现象；检查仪表盘各指示灯（发动机故障灯、机油压力灯、水温灯、充电指示灯等）是否正常。</w:t>
      </w:r>
    </w:p>
    <w:p>
      <w:r>
        <w:t>二、制动系统：检查制动踏板行程是否正常（踩下制动踏板，踏板不应触底），制动是否灵敏有效；检查制动管路有无渗漏（观察管路接头和软管）；检查手刹制动是否可靠（拉起手刹，车辆不应移动）。</w:t>
      </w:r>
    </w:p>
    <w:p>
      <w:r>
        <w:t>三、转向系统：检查方向盘自由行程是否正常（左右转动方向盘，自由行程不超过十五度），转向是否灵活，有无异响。启动后检查转向助力是否正常。</w:t>
      </w:r>
    </w:p>
    <w:p>
      <w:r>
        <w:t>四、轮胎系统：检查轮胎气压是否符合标准值（前轮三点五千帕，后轮四点零千帕，具体以车辆说明书为准），轮胎表面有无裂纹、鼓包、异常磨损，胎纹深度不低于一点六毫米，备胎状况是否良好。</w:t>
      </w:r>
    </w:p>
    <w:p>
      <w:r>
        <w:t>五、灯光信号：检查前大灯（远光和近光）、转向灯（前后）、刹车灯、倒车灯、雾灯、示宽灯、双闪灯等全部灯光信号是否正常工作。</w:t>
      </w:r>
    </w:p>
    <w:p>
      <w:r>
        <w:t>六、防弹车体：检查防弹车体有无新增破损、变形，防弹玻璃有无裂纹、气泡、脱层，射击孔开闭是否灵活、锁止是否可靠，车门锁止机构是否正常（多次开关测试），车门密封条是否完好。</w:t>
      </w:r>
    </w:p>
    <w:p>
      <w:r>
        <w:t>七、车载设备：检查GPS定位系统（定位是否准确、信号是否正常）、车载电台（通话是否清晰、频道是否正确）、行车记录仪（录像是否正常、存储空间是否充足）、倒车影像（画面是否清晰）等设备运行是否正常。</w:t>
      </w:r>
    </w:p>
    <w:p>
      <w:r>
        <w:t>八、安全设备：检查灭火器是否在有效期内、压力表指针是否在绿色区域、瓶体有无锈蚀；安全锤是否齐全、急救包物品是否在有效期内。</w:t>
      </w:r>
    </w:p>
    <w:p>
      <w:r>
        <w:t>检查中发现问题的，应立即报告车辆管理部进行维修，填写《车辆故障报修单》。影响行车安全的问题未解决前不得出车执行任务。</w:t>
      </w:r>
    </w:p>
    <w:p>
      <w:pPr>
        <w:pStyle w:val="Heading2"/>
      </w:pPr>
      <w:r>
        <w:t>2.2 收车后检查</w:t>
      </w:r>
    </w:p>
    <w:p>
      <w:r>
        <w:t>每次任务结束后，驾驶员须进行收车后检查：</w:t>
      </w:r>
    </w:p>
    <w:p>
      <w:r>
        <w:t>一、绕车一周检查车体外观，确认无新增损伤。如发现损伤应立即报告并记录。</w:t>
      </w:r>
    </w:p>
    <w:p>
      <w:r>
        <w:t>二、检查车窗、车灯、后视镜完好性，确认无损坏。</w:t>
      </w:r>
    </w:p>
    <w:p>
      <w:r>
        <w:t>三、检查油量，油量低于四分之一油箱容量的应及时加油，确保下次出车油量充足。</w:t>
      </w:r>
    </w:p>
    <w:p>
      <w:r>
        <w:t>四、清洁车内外卫生，清除车内垃圾和杂物，保持车辆整洁。车身有污渍的应及时清洗。</w:t>
      </w:r>
    </w:p>
    <w:p>
      <w:r>
        <w:t>五、锁好车门车窗，启动防盗系统，将车辆停放在指定车位。</w:t>
      </w:r>
    </w:p>
    <w:p>
      <w:r>
        <w:t>六、填写《行车日志》，记录当日行驶里程、油耗、车辆状况、异常情况等信息。行车日志由押运组长审核签字。</w:t>
      </w:r>
    </w:p>
    <w:p>
      <w:pPr>
        <w:pStyle w:val="Heading1"/>
      </w:pPr>
      <w:r>
        <w:t>第三章 车辆定期保养规定</w:t>
      </w:r>
    </w:p>
    <w:p>
      <w:pPr>
        <w:pStyle w:val="Heading2"/>
      </w:pPr>
      <w:r>
        <w:t>3.1 保养周期</w:t>
      </w:r>
    </w:p>
    <w:p>
      <w:r>
        <w:t>押运车辆按照以下周期进行定期保养，保养周期以行驶里程或时间间隔先到者为准：</w:t>
      </w:r>
    </w:p>
    <w:p>
      <w:r>
        <w:t>一、日常保养：每日出车前和收车后进行，由驾驶员自行完成。内容包括车辆外观检查、油液液面检查、轮胎气压检查、灯光检查等。</w:t>
      </w:r>
    </w:p>
    <w:p>
      <w:r>
        <w:t>二、一级保养：每行驶五千公里或每月进行一次。主要包括更换机油和机油滤清器、检查空气滤清器（脏污时清洁或更换）、检查各油液液面并补充、紧固底盘螺栓、检查传动皮带张紧度、润滑车门铰链和锁止机构、检查排气系统。</w:t>
      </w:r>
    </w:p>
    <w:p>
      <w:r>
        <w:t>三、二级保养：每行驶一万五千公里或每季度进行一次。在一级保养基础上增加更换空气滤清器滤芯、检查制动片磨损情况（厚度不低于三毫米）、检查制动盘磨损情况、检查传动皮带磨损情况、轮胎换位（前后交叉换位）、检查四轮定位、清洗节气门、检查蓄电池状态。</w:t>
      </w:r>
    </w:p>
    <w:p>
      <w:r>
        <w:t>四、三级保养：每行驶三万公里或每年进行一次。在二级保养基础上增加更换制动液、更换冷却液、更换转向助力油、检查减震器性能（按压车身检查回弹）、检查悬挂臂和球头磨损情况、检查排气系统（消声器、催化器）、全面检查电气线路（有无老化、破损）、检查空调系统制冷效果。三级保养须在公司指定维修厂进行。</w:t>
      </w:r>
    </w:p>
    <w:p>
      <w:pPr>
        <w:pStyle w:val="Heading2"/>
      </w:pPr>
      <w:r>
        <w:t>3.2 维修审批</w:t>
      </w:r>
    </w:p>
    <w:p>
      <w:r>
        <w:t>车辆维修实行分级审批制度，未经审批不得擅自维修：</w:t>
      </w:r>
    </w:p>
    <w:p>
      <w:r>
        <w:t>一、日常维修保养费用在二千元以下的，由车辆管理部主管审批。</w:t>
      </w:r>
    </w:p>
    <w:p>
      <w:r>
        <w:t>二、维修费用在二千元以上一万元以下的，由车辆管理部经理审批。</w:t>
      </w:r>
    </w:p>
    <w:p>
      <w:r>
        <w:t>三、维修费用在一万元以上的，须报公司分管领导审批。</w:t>
      </w:r>
    </w:p>
    <w:p>
      <w:r>
        <w:t>四、紧急维修情况下（如途中故障需就地维修），驾驶员可先进行维修后补办审批手续，但须在二十四小时内补办完毕，并提供维修项目清单和费用明细。</w:t>
      </w:r>
    </w:p>
    <w:p>
      <w:r>
        <w:t>五、所有维修须在公司指定的维修厂进行，维修费用超出预估百分之十以上的须重新审批。</w:t>
      </w:r>
    </w:p>
    <w:p>
      <w:pPr>
        <w:pStyle w:val="Heading1"/>
      </w:pPr>
      <w:r>
        <w:t>第四章 防弹运钞车特殊维护要求</w:t>
      </w:r>
    </w:p>
    <w:p>
      <w:r>
        <w:t>防弹运钞车因车体加装防弹钢板和防弹玻璃，整车重量较普通车辆大幅增加（通常增加八百至一千五百公斤），需要特殊的维护保养措施：</w:t>
      </w:r>
    </w:p>
    <w:p>
      <w:r>
        <w:t>一、防弹车体检查：每月对防弹车体进行全面检查，重点检查防弹钢板焊接处有无开裂、锈蚀，防弹玻璃有无裂纹、气泡、脱层现象，车身密封性是否良好。发现问题及时修复，防弹性能受损的车体必须立即停用并送专业厂家维修。防弹玻璃使用年限超过五年的应予以更换。</w:t>
      </w:r>
    </w:p>
    <w:p>
      <w:r>
        <w:t>二、悬挂系统维护：由于防弹车体重量大，悬挂系统负荷较高，应每五千公里检查一次减震器和弹簧状态（检查减震器有无漏油、弹簧有无下沉或断裂），每一万公里检查一次悬挂臂和球头磨损情况。减震器漏油或弹簧下沉的应及时更换。建议每四万公里更换全套减震器。</w:t>
      </w:r>
    </w:p>
    <w:p>
      <w:r>
        <w:t>三、制动系统强化检查：防弹运钞车制动系统负荷较大，制动片磨损较快。应每五千公里检查制动片厚度和制动盘磨损情况，制动片厚度低于三毫米的必须更换。制动液每两年或四万公里更换一次。下长坡路段应避免频繁制动导致制动热衰减。</w:t>
      </w:r>
    </w:p>
    <w:p>
      <w:r>
        <w:t>四、车门铰链维护：防弹车门较重（比普通车门重约五十至八十公斤），铰链磨损较快。每季度对车门铰链进行润滑保养（使用锂基润滑脂），检查铰链有无变形、松动、裂纹，确保车门开闭顺畅、锁止可靠。发现铰链变形的应立即更换。</w:t>
      </w:r>
    </w:p>
    <w:p>
      <w:r>
        <w:t>五、射击孔和观察窗维护：每月检查射击孔开闭机构是否灵活，观察窗升降机构是否正常，密封条是否完好，并进行润滑保养。射击孔卡滞的应及时维修，确保紧急情况下能够快速打开。</w:t>
      </w:r>
    </w:p>
    <w:p>
      <w:pPr>
        <w:pStyle w:val="Heading1"/>
      </w:pPr>
      <w:r>
        <w:t>第五章 车辆GPS监控管理规定</w:t>
      </w:r>
    </w:p>
    <w:p>
      <w:r>
        <w:t>一、所有押运车辆须安装GPS定位监控系统，实现车辆实时定位、行驶轨迹记录、速度监控、区域报警等功能。GPS设备不得私自拆卸、关闭或遮挡，违者给予严重警告处分。</w:t>
      </w:r>
    </w:p>
    <w:p>
      <w:r>
        <w:t>二、指挥中心通过GPS监控平台对所有押运车辆进行实时监控，发现车辆偏离预定路线、超速行驶、异常停车（超过五分钟）、进入禁区等情况时，应立即联系押运组长核实情况，必要时启动应急处置程序。</w:t>
      </w:r>
    </w:p>
    <w:p>
      <w:r>
        <w:t>三、GPS系统记录的行驶数据保存期限不少于一年，涉及安全事故的行驶数据永久保存。数据查阅须经安全保卫部批准。</w:t>
      </w:r>
    </w:p>
    <w:p>
      <w:r>
        <w:t>四、GPS设备发生故障的，驾驶员应在当次任务结束后立即报告，车辆管理部应在四十八小时内修复或更换。GPS故障期间车辆不得执行押运任务。</w:t>
      </w:r>
    </w:p>
    <w:p>
      <w:r>
        <w:t>五、严禁利用GPS监控系统获取的信息从事与押运管理无关的活动，严禁向无关人员泄露车辆位置和行驶信息，违反者视情节给予纪律处分。</w:t>
      </w:r>
    </w:p>
    <w:p>
      <w:pPr>
        <w:pStyle w:val="Heading1"/>
      </w:pPr>
      <w:r>
        <w:t>第六章 车辆加油和停放规定</w:t>
      </w:r>
    </w:p>
    <w:p>
      <w:r>
        <w:t>一、押运车辆加油应在公司指定的加油站进行，使用公司加油卡，实行一车一卡制度，不得转借其他车辆。加油卡不得转借任何个人车辆。每月统计各车油耗数据，异常油耗须查明原因。</w:t>
      </w:r>
    </w:p>
    <w:p>
      <w:r>
        <w:t>二、加油时应先熄火，驾驶员不得离开加油现场。加油后及时记录加油量、里程数和油价。严禁在加油站内吸烟和使用手机。</w:t>
      </w:r>
    </w:p>
    <w:p>
      <w:r>
        <w:t>三、押运车辆应停放在公司专用停车场或客户方指定安全区域，严禁在公共场所、居民区、餐饮场所周边等非安全区域停放。执行任务途中临时停车应选择有人看管或有监控覆盖的区域。</w:t>
      </w:r>
    </w:p>
    <w:p>
      <w:r>
        <w:t>四、停放时应选择有监控覆盖的车位，锁好车门车窗，启动防盗系统。夜间停放应在有人值守的停车场内，停车场应有充足的照明。</w:t>
      </w:r>
    </w:p>
    <w:p>
      <w:r>
        <w:t>五、执行任务途中临时停车时，驾驶员不得离开车辆，发动机保持运转状态（或保持可随时启动的状态），随时准备驶离。押运员应下车警戒，保持对周围环境的观察。</w:t>
      </w:r>
    </w:p>
    <w:p>
      <w:pPr>
        <w:pStyle w:val="Heading1"/>
      </w:pPr>
      <w:r>
        <w:t>第七章 车辆保险和年检管理</w:t>
      </w:r>
    </w:p>
    <w:p>
      <w:r>
        <w:t>一、所有押运车辆须投保机动车交通事故责任强制保险、机动车损失保险、第三者责任保险（保额不低于二百万元）、车上人员责任保险（每座不低于五十万元）、不计免赔险等险种。保险到期前一个月办理续保手续，确保保险不出现断档。</w:t>
      </w:r>
    </w:p>
    <w:p>
      <w:r>
        <w:t>二、车辆年检由车辆管理部统一安排，在年检到期前两个月完成年检。年检不合格的车辆须立即整改维修，整改合格前不得上路行驶。年检费用由车辆管理部统一支付。</w:t>
      </w:r>
    </w:p>
    <w:p>
      <w:r>
        <w:t>三、车辆保险和年检相关费用纳入公司年度预算管理，由财务部统一核算。发生保险事故时，应及时报案并配合保险公司定损理赔。</w:t>
      </w:r>
    </w:p>
    <w:p>
      <w:pPr>
        <w:pStyle w:val="Heading1"/>
      </w:pPr>
      <w:r>
        <w:t>第八章 车辆报废处置流程</w:t>
      </w:r>
    </w:p>
    <w:p>
      <w:r>
        <w:t>押运车辆达到以下条件之一的，应予以报废处置：</w:t>
      </w:r>
    </w:p>
    <w:p>
      <w:r>
        <w:t>一、行驶里程达到五十万公里以上或使用年限超过十年的。</w:t>
      </w:r>
    </w:p>
    <w:p>
      <w:r>
        <w:t>二、车辆技术状况严重恶化，经评估维修费用超过车辆残值百分之五十的。</w:t>
      </w:r>
    </w:p>
    <w:p>
      <w:r>
        <w:t>三、因事故造成车体严重变形、防弹性能丧失，无法修复或修复费用过高的。</w:t>
      </w:r>
    </w:p>
    <w:p>
      <w:r>
        <w:t>四、国家强制报废标准规定的其他情形。</w:t>
      </w:r>
    </w:p>
    <w:p>
      <w:r>
        <w:t>报废流程：由车辆管理部提出报废申请，填写《车辆报废申请表》，经公司技术鉴定小组（由车辆管理部、安全保卫部、财务部人员组成）鉴定确认，报公司分管领导审批后，交由具有资质的报废汽车回收企业处理。报废车辆的车牌、行驶证、登记证等证件由车辆管理部统一办理注销手续。防弹车体的处置须确保防弹材料不被流失，必要时在公安机关监督下销毁。报废处置全过程应有书面记录和影像资料。</w:t>
      </w:r>
    </w:p>
    <w:p>
      <w:pPr>
        <w:pStyle w:val="Heading1"/>
      </w:pPr>
      <w:r>
        <w:t>第九章 随车装备管理规定</w:t>
      </w:r>
    </w:p>
    <w:p>
      <w:pPr>
        <w:pStyle w:val="Heading2"/>
      </w:pPr>
      <w:r>
        <w:t>9.1 随车装备配置标准</w:t>
      </w:r>
    </w:p>
    <w:p>
      <w:r>
        <w:t>每辆押运车应配备以下随车装备，装备配置标准由公司安全保卫部统一制定：</w:t>
      </w:r>
    </w:p>
    <w:p>
      <w:pPr>
        <w:pStyle w:val="ListBullet"/>
      </w:pPr>
      <w:r>
        <w:t>对讲机：每台押运车配备两台手持对讲机（备用电池各一块），一台车载台。</w:t>
      </w:r>
    </w:p>
    <w:p>
      <w:pPr>
        <w:pStyle w:val="ListBullet"/>
      </w:pPr>
      <w:r>
        <w:t>执法记录仪：每台押运车配备两台执法记录仪，确保交接过程全程录像，录像保存不少于九十天。</w:t>
      </w:r>
    </w:p>
    <w:p>
      <w:pPr>
        <w:pStyle w:val="ListBullet"/>
      </w:pPr>
      <w:r>
        <w:t>灭火器：每台押运车配备两具干粉灭火器（不低于四公斤），放置在驾驶员和副驾驶员易于取用处。</w:t>
      </w:r>
    </w:p>
    <w:p>
      <w:pPr>
        <w:pStyle w:val="ListBullet"/>
      </w:pPr>
      <w:r>
        <w:t>急救包：每车配备一个标准急救包，包含止血带、纱布、碘伏、创可贴、夹板等常用急救药品和器材。</w:t>
      </w:r>
    </w:p>
    <w:p>
      <w:pPr>
        <w:pStyle w:val="ListBullet"/>
      </w:pPr>
      <w:r>
        <w:t>反光背心：每车配备四件反光背心，用于夜间或低能见度条件下的警戒作业。</w:t>
      </w:r>
    </w:p>
    <w:p>
      <w:pPr>
        <w:pStyle w:val="ListBullet"/>
      </w:pPr>
      <w:r>
        <w:t>警戒带：每车配备两卷警戒带（长度不少于五十米），用于建立临时警戒区域。</w:t>
      </w:r>
    </w:p>
    <w:p>
      <w:pPr>
        <w:pStyle w:val="ListBullet"/>
      </w:pPr>
      <w:r>
        <w:t>防弹衣和防弹头盔：每名押运员配备一套，防弹等级不低于三级，出车前检查穿戴。</w:t>
      </w:r>
    </w:p>
    <w:p>
      <w:pPr>
        <w:pStyle w:val="ListBullet"/>
      </w:pPr>
      <w:r>
        <w:t>三角警示牌：每车配备两个三角警示牌，用于故障或事故时警示后方来车。</w:t>
      </w:r>
    </w:p>
    <w:p>
      <w:pPr>
        <w:pStyle w:val="Heading2"/>
      </w:pPr>
      <w:r>
        <w:t>9.2 装备日常保养和报修</w:t>
      </w:r>
    </w:p>
    <w:p>
      <w:r>
        <w:t>一、对讲机每日使用后应充电存放（充电时间不少于四小时），每月检查一次通话质量和电池容量。发现故障及时送修，备机应在四小时内调配到位。对讲机电池每两年更换一次。</w:t>
      </w:r>
    </w:p>
    <w:p>
      <w:r>
        <w:t>二、执法记录仪每次使用后应导出录像资料至指定存储设备并充电，每月检查一次录像功能和存储容量。录像资料保存期限不少于九十天，涉及事故的资料永久保存。</w:t>
      </w:r>
    </w:p>
    <w:p>
      <w:r>
        <w:t>三、灭火器每月检查一次压力表指示（指针应在绿色区域）和外观状况（有无锈蚀、变形），到期及时更换或送检充装。使用后或压力不足的灭火器应及时充装或更换。</w:t>
      </w:r>
    </w:p>
    <w:p>
      <w:r>
        <w:t>四、防弹衣和防弹头盔每次使用后应检查外观有无破损、变形。防弹衣有效期为五年（自生产日期起算），到期或发现防弹性能下降的应及时更换。存放时应避免潮湿和阳光直射，悬挂存放或平放，不得折叠或重压。</w:t>
      </w:r>
    </w:p>
    <w:p>
      <w:r>
        <w:t>五、所有随车装备实行编号管理，建立装备台账，每月盘点一次。装备丢失或损坏的，由当次押运组长负责查明原因并书面报告。因人为原因造成装备损坏或丢失的，由责任人承担相应赔偿责任。装备报废须以旧换新，旧装备交回公司统一处置。</w:t>
      </w:r>
    </w:p>
    <w:p>
      <w:pPr>
        <w:pStyle w:val="Heading1"/>
      </w:pPr>
      <w:r>
        <w:t>第十章 附则</w:t>
      </w:r>
    </w:p>
    <w:p>
      <w:r>
        <w:t>一、本规定由公司车辆管理部负责解释和修订。各分公司应结合实际情况制定实施细则。</w:t>
      </w:r>
    </w:p>
    <w:p>
      <w:r>
        <w:t>二、本规定自发布之日起施行，原有相关规定与本规定不一致的，以本规定为准。本规定修订时须经公司总经理办公会议审议通过。</w:t>
      </w:r>
    </w:p>
    <w:p>
      <w:r>
        <w:t>三、本规定如与国家法律法规相抵触的，以国家法律法规为准。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