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Strategic Modeling — Module 05: Action</w:t>
      </w:r>
    </w:p>
    <w:p>
      <w:r>
        <w:t>Name : _ _ _  Date : _ _ _</w:t>
      </w:r>
    </w:p>
    <w:p>
      <w:r>
        <w:t>Part A: Multiple Choice</w:t>
      </w:r>
    </w:p>
    <w:p>
      <w:r>
        <w:t>Amazon's "flywheel" is an example of: A) A shipping process B) A strategic commitment using irreversible infrastructure investment that creates self-reinforcing competitive advantage C) A cost-cutting initiative D) An advertising campaign  First-mover advantage is strongest when: A) Markets are mature B) Switching costs are high and network effects are strong C) Products are commodities D) Markets are well-understood  Strategic retreat (exiting a market) is: A) Always a sign of failure B) Sometimes the best strategic move — redirecting resources from high-free-energy positions to more favorable ones C) Illegal D) Easy to decide  "Burning the boats" works strategically because: A) It eliminates naval competition B) It credibly signals commitment, changing competitors' inference about your likely behavior C) It's dramatic D) It reduces costs  Market creation (Blue Ocean Strategy) targets: A) Existing customers B) Uncontested market space where competition is irrelevant C) The cheapest market D) Competitor customers only  Competitive dynamics describe: A) Static positions B) How firms' actions and reactions shape market evolution over time C) Team dynamics D) Market regulations  The exploration-exploitation balance should shift toward exploration when: A) The industry is mature and stable B) The industry is disrupted and current models may be obsolete C) Profits are strong D) Markets are efficient    Part B: Short Analysis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