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Strategic Modeling — Module 06: Learning</w:t>
      </w:r>
    </w:p>
    <w:p>
      <w:r>
        <w:t>Name : _ _ _  Date : _ _ _</w:t>
      </w:r>
    </w:p>
    <w:p>
      <w:r>
        <w:t>Part A: Multiple Choice</w:t>
      </w:r>
    </w:p>
    <w:p>
      <w:r>
        <w:t>Dynamic capabilities (Teece) consist of: A) Static resources B) Sensing, seizing, and transforming — the organizational capacity to adapt C) Competitive moves D) Market position  Google's innovation portfolio exemplifies: A) Random investment B) Strategic experimentation — running diverse experiments to generate learning about future opportunities C) Cost reduction D) Conservative strategy  The competitive learning loop determines advantage because: A) Learning is free B) Organizations with faster sense→update→act→observe cycles outcompete those with slower loops C) Learning is a core competency D) Competitors don't learn  Strategic unlearning is necessary when: A) Employees forget things B) A previously successful strategy is no longer viable and the old model prevents adaptation C) Training budgets are cut D) New employees arrive  Fail fast cultures generate faster learning because: A) They celebrate failure B) Experiments are designed to produce clear results quickly, enabling rapid model updating C) They set low standards D) Failure is inevitable  "Probe and learn" involves: A) Market research B) Small-scale experiments that test strategic assumptions cheaply before full commitment C) Focus groups D) Competitor imitation  Organizational inertia slows strategy adaptation by: A) Making the organization heavier B) Making it difficult to update established routines, beliefs, and resource commitments even when the competitive model changes C) Reducing momentum D) Causing physical slowness    Part B: Short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