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Embodied</w:t>
      </w:r>
    </w:p>
    <w:p>
      <w:r>
        <w:t>Learning Objectives</w:t>
      </w:r>
    </w:p>
    <w:p>
      <w:r>
        <w:t>Define Learning within the context of Embodied.  Analyze how Learning interacts with other components of the Active Inference framework.  Apply specific constraints of Embodied to the formal definition of Learning.   Introduction</w:t>
      </w:r>
    </w:p>
    <w:p>
      <w:r>
        <w:t>This module explores Learning . In the Embodied curriculum, we approach this topic with a focus on specific applications and theoretical depth appropriate for the audience. Learning is a critical component of the 8-part Active Inference spine, bridging the gap between [Previous Topic] and [Next Topic].</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Embodied, we see Learning manifest in:</w:t>
        <w:br/>
        <w:t>* Specific Example 1 : [Add domain-specific example here]</w:t>
        <w:br/>
        <w:t>* Specific Example 2 : [Add domain-specific example here]</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