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Digital Transformation — Module 04: Cognition</w:t>
      </w:r>
    </w:p>
    <w:p>
      <w:r>
        <w:t>Name : _ _ _  Date : _ _ _</w:t>
      </w:r>
    </w:p>
    <w:p>
      <w:r>
        <w:t>Part A: Multiple Choice</w:t>
      </w:r>
    </w:p>
    <w:p>
      <w:r>
        <w:t>AI governance must address: A) Only technology B) Accountability, transparency, fairness, and oversight for all automated decisions C) Only legal compliance D) Only ethics  The COMPAS case demonstrates: A) AI success B) That algorithmic decisions can embed and amplify societal biases, requiring rigorous fairness testing C) AI is unbiased D) Technology is neutral  Explainability is critical because: A) Regulators want it B) Stakeholders affected by algorithmic decisions need to understand and contest them, and designers need to audit them C) It's simple D) All models are explainable  Algorithmic decisions redistribute power because: A) Algorithms are powerful B) They shift decision authority from human experts to system designers and data, changing who controls outcomes C) They cost money D) They are faster  The accountability gap occurs when: A) Budgets are tight B) No one can fully explain why an algorithm produced a specific output, making it difficult to assign responsibility C) Teams are too small D) Algorithms are transparent  Human override of AI decisions should be: A) Forbidden B) Available for consequential decisions, with clear protocols and post-hoc review C) Always used D) Never needed  Regulated industries require stricter AI governance because: A) They're conservative B) Their decisions have direct, significant impact on people's lives and rights C) They have more budget D) Regulators are strict    Part B: Short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