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Research Methods — Module 08: Planning &amp; Future Frontiers — Study Questions</w:t>
      </w:r>
    </w:p>
    <w:p>
      <w:r>
        <w:t>Part 1: Fundamental Comprehension</w:t>
      </w:r>
    </w:p>
    <w:p>
      <w:r>
        <w:t>The Five Frontiers : List the five major research frontiers actively pushing the boundaries of the Active Inference framework (e.g., scale-free cognition, safe AI, continuous-time robotics). Which frontier do you believe is the most immediately promising, and why?  The Scale Problem : What is the "scale problem" in Active Inference? How does the framework attempt to seamlessly bridge the dynamics of single neurons to whole brains, and from individual humans to massive socio-technical societies?  The Renormalization Group : Briefly explain how the mathematical concept of the "renormalization group" (borrowed from statistical physics in the Advanced Theory track) is applied to model nested scales of Markov blankets.  Safe AI and Alignment : Active Inference agents do not just maximize arbitrary reward signals; they minimize expected free energy subject to highly specific prior preferences. Explain the theoretical argument for why Active Inference might offer a safer, more aligned architecture for Artificial General Intelligence (AGI) than standard Deep Reinforcement Learning.  The Morphogenesis Connection : How does the Free Energy Principle apply to biological development (morphogenesis)? What exactly does "free energy minimization" represent for a developing embryo organizing its cells into tissues?   Part 2: Advanced Analysis &amp; Synthesis</w:t>
      </w:r>
    </w:p>
    <w:p>
      <w:r>
        <w:t>Climate and Planetary Inference : Apply Active Inference to global systems. How can the framework inform climate adaptation strategies by modeling human societies and the Earth system as coupled agents engaged in mutual inference?  The Hard Problem of Consciousness : The Free Energy Principle explains how a system maintains its boundary (autopoiesis) and behaves intelligently. Does it explain subjective experience? What additional philosophical or neurobiological constraints beyond Active Inference might be required to account for phenomenal consciousness?  Track Integration : The 401 course is split into four tracks: Philosophy, Neuroscience, Advanced Theory (Math), and Research Methods. Analyze how these four branches must integrate to produce a valid Active Inference finding. Give an example of a failure mode where a paper relies too heavily on only one of these tracks.  Unresolved Theoretical Debates : What are the most explosive or contentious unresolved theoretical debates within the Active Inference community right now? (e.g., discrete vs. continuous time, the exact nature of the EFE derivation, strong vs. weak FEP).  Engaging Critics : The Free Energy Principle has faced fierce criticism (accusations of unfalsifiability, extreme mathematical opacity, and over-generalization). How should the next generation of Active Inference researchers constructively engage with and address these critiques?   Part 3: Methodological Application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