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in Embodied Cognition — Locomotion and Tool Use</w:t>
      </w:r>
    </w:p>
    <w:p>
      <w:r>
        <w:t>Learning Objectives</w:t>
      </w:r>
    </w:p>
    <w:p>
      <w:r>
        <w:t>Define action in the moving world as the embodied agent's capacity to traverse terrain, manipulate objects, and transform environments through physical engagement.  Analyze how locomotion gaits, tool incorporation, and obstacle negotiation implement Active Inference policies for world-engaged action.  Apply the embodied action framework to understand adaptive movement , including gait transitions and tool-augmented capabilities.   Introduction</w:t>
      </w:r>
    </w:p>
    <w:p>
      <w:r>
        <w:t>Action in the context of moving through the world is not merely limb movement — it is the physical engagement with terrain, objects, and other agents that changes the state of the world and the state of the body simultaneously. Each step taken changes the terrain (footprints in sand, compressed grass) and the body (muscle fatigue, joint loading, energy expenditure). Action and environment are inseparable.</w:t>
      </w:r>
    </w:p>
    <w:p>
      <w:r>
        <w:t>Key Concepts</w:t>
      </w:r>
    </w:p>
    <w:p>
      <w:r>
        <w:t>1. Locomotion Gaits as Optimal Policies</w:t>
      </w:r>
    </w:p>
    <w:p>
      <w:r>
        <w:t>Different locomotion patterns (walking, running, galloping) represent different motor policies selected to minimize free energy under varying conditions:</w:t>
      </w:r>
    </w:p>
    <w:p>
      <w:r>
        <w:t>Walking is the minimum-energy gait for low speeds — the inverted pendulum model of walking exploits gravitational potential energy exchange  Running becomes the energetically optimal gait above a speed threshold (roughly 2 m/s for humans) — the spring-mass model of running stores and releases elastic energy  The gait transition (walking → running) is policy selection under changing constraints — when speed demands increase, the running policy minimizes metabolic prediction error better than the walking policy   Active Inference predicts that gait transitions should occur when the Expected Free Energy of the new gait drops below that of the current gait — and experimental data confirms that humans spontaneously transition at the metabolically optimal speed.</w:t>
      </w:r>
    </w:p>
    <w:p>
      <w:r>
        <w:t>2. Tool Incorporation as Markov Blanket Extension</w:t>
      </w:r>
    </w:p>
    <w:p>
      <w:r>
        <w:t>When an agent uses a tool, the tool is incorporated into the body schema — the Markov blanket extends to encompass the tool's sensory and active surfaces:</w:t>
      </w:r>
    </w:p>
    <w:p>
      <w:r>
        <w:t>A stick used to probe a dark crevice becomes an extension of the tactile sense — vibrations at the stick tip are perceived as touch-at-a-distance  A car becomes an extension of the agent's motor capabilities — the driver feels the road surface through the steering wheel and estimates clearance through the body's updated spatial model  Tool breakage generates massive prediction error because the body schema is suddenly violated — the extended Markov blanket collapses and must be reconfigured   3. Obstacle Negotiation as Planning Under Uncertainty</w:t>
      </w:r>
    </w:p>
    <w:p>
      <w:r>
        <w:t>Navigating obstacles requires real-time planning that integrates spatial perception with motor capability assessment:</w:t>
      </w:r>
    </w:p>
    <w:p>
      <w:r>
        <w:t>Gap crossing : The agent estimates gap width relative to leg length and stepping capability. Decisions to step across vs. walk around are EFE comparisons.  Height negotiation : The agent estimates barrier height relative to stepping, climbing, or ducking capabilities. Experienced movers choose routes that minimize total EFE.  Surface reliability estimation : The agent assesses surface stability (loose rocks, ice, wet leaves) through visual and haptic probing — epistemic actions that reduce uncertainty before committing to weight-bearing contact.   4. Environmental Niche Construction</w:t>
      </w:r>
    </w:p>
    <w:p>
      <w:r>
        <w:t>Niche construction extends action beyond navigation to world transformation : the agent modifies the environment to reduce future prediction errors:</w:t>
      </w:r>
    </w:p>
    <w:p>
      <w:r>
        <w:t>Trail-building transforms wild terrain into predictable paths  Bridge-building eliminates gap-crossing uncertainty  Path clearance removes obstacle negotiation requirements   In Active Inference terms, niche construction is action that reduces the expected free energy of future encounters with the environment — investing current effort to minimize future surprise.</w:t>
      </w:r>
    </w:p>
    <w:p>
      <w:r>
        <w:t>Applications</w:t>
      </w:r>
    </w:p>
    <w:p>
      <w:r>
        <w:t>Prosthetic gait optimization : Tuning a prosthetic limb involves calibrating the prosthetic's behavior to minimize the amputee's proprioceptive prediction errors — the prosthetic-body system must achieve a stable gait that feels natural, meaning the embodied generative model's predictions are fulfilled.  Search and rescue movement : Rescue workers navigating collapsed buildings perform continuous obstacle negotiation under extreme uncertainty — each footfall is a test of structural integrity, with high precision on tactile and auditory prediction errors (creaking, shifting) that signal imminent collapse.   Conclusion</w:t>
      </w:r>
    </w:p>
    <w:p>
      <w:r>
        <w:t>Action in the moving world spans locomotion, tool use, obstacle negotiation, and niche construction — each implementing Active Inference policies that transform the body-environment coupling. The next module examines how the embodied agent learns from movement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