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Crystal Lattices as Markov Blankets</w:t>
      </w:r>
    </w:p>
    <w:p>
      <w:r>
        <w:t>Introduction</w:t>
      </w:r>
    </w:p>
    <w:p>
      <w:r>
        <w:t>This module explores Systems within the context of Metallurgical Systems . In the Active Inference framework, the systems concept plays a critical role in understanding how bounded entities maintain their identity, process information, and adapt to perturbation. Here we examine this through the lens of crystal structures, defects, and fundamental thermodynamics.</w:t>
      </w:r>
    </w:p>
    <w:p>
      <w:r>
        <w:t>Key themes : Unit cells, crystal boundaries, Bravais lattices, atomic-scale system boundaries</w:t>
      </w:r>
    </w:p>
    <w:p>
      <w:r>
        <w:t>Learning Objectives</w:t>
      </w:r>
    </w:p>
    <w:p>
      <w:r>
        <w:t>By the end of this module, you will be able to:</w:t>
      </w:r>
    </w:p>
    <w:p>
      <w:r>
        <w:t>Define Systems within the Active Inference framework as it applies to metallurgical systems  Identify how systems manifests in crystal structures, defects, and fundamental thermodynamics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the concept of a system refers to any bounded entity that maintains and updates its relationship with the environment through the exchange of sensory and active states across a Markov blanket. For metallurgical systems, this maps directly onto physical structures: unit cells, crystal boundaries, Bravais lattices, and atomic-scale system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Unit cells, crystal boundaries, Bravais lattices, atomic-scale system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