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Perception in Thermodynamic Inference</w:t>
      </w:r>
    </w:p>
    <w:p>
      <w:r>
        <w:t>Objectives</w:t>
      </w:r>
    </w:p>
    <w:p>
      <w:r>
        <w:t>Learning Goal: Apply the Active Inference concept of perception to a concrete metallurgical scenario using calculation lab techniques.</w:t>
      </w:r>
    </w:p>
    <w:p>
      <w:r>
        <w:t>This is a calculation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Perception Analysis (25 min)</w:t>
      </w:r>
    </w:p>
    <w:p>
      <w:r>
        <w:t>2A: Identify the Active Inference Components</w:t>
      </w:r>
    </w:p>
    <w:p>
      <w:r>
        <w:t>Map your chosen system onto the Active Inference framework in the context of perception:</w:t>
      </w:r>
    </w:p>
    <w:p>
      <w:r>
        <w:t>Component  Your System      System boundary (Markov blanket)     Internal states     External states     Sensory states     Active states      Write your response here  2B: Perception Dynamics</w:t>
      </w:r>
    </w:p>
    <w:p>
      <w:r>
        <w:t>Describe how perception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perception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perception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