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Grain Boundaries as System Boundaries</w:t>
      </w:r>
    </w:p>
    <w:p>
      <w:r>
        <w:t>Introduction</w:t>
      </w:r>
    </w:p>
    <w:p>
      <w:r>
        <w:t>This module explores Systems within the context of Microstructural Evolution . In the Active Inference framework, the systems concept plays a critical role in understanding how bounded entities maintain their identity, process information, and adapt to perturbation. Here we examine this through the lens of nucleation, grain growth, precipitation, and characterization.</w:t>
      </w:r>
    </w:p>
    <w:p>
      <w:r>
        <w:t>Key themes : Polycrystalline architecture, grain boundary character, misorientation, CSL boundaries</w:t>
      </w:r>
    </w:p>
    <w:p>
      <w:r>
        <w:t>Learning Objectives</w:t>
      </w:r>
    </w:p>
    <w:p>
      <w:r>
        <w:t>By the end of this module, you will be able to:</w:t>
      </w:r>
    </w:p>
    <w:p>
      <w:r>
        <w:t>Define Systems within the Active Inference framework as it applies to metallurgical systems  Identify how systems manifests in nucleation, grain growth, precipitation, and characterization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the concept of a system refers to any bounded entity that maintains and updates its relationship with the environment through the exchange of sensory and active states across a Markov blanket. For microstructural evolution, this maps directly onto polycrystalline architecture: grain boundary character, misorientation distributions, and CSL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Polycrystalline architecture, grain boundary character, misorientation, CSL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