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Strategic Modeling — Module 07: Communication</w:t>
      </w:r>
    </w:p>
    <w:p>
      <w:r>
        <w:t>Name : _ _ _  Date : _ _ _</w:t>
      </w:r>
    </w:p>
    <w:p>
      <w:r>
        <w:t>Part A: Multiple Choice</w:t>
      </w:r>
    </w:p>
    <w:p>
      <w:r>
        <w:t>Strategic narrative is: A) A marketing brochure B) Communication designed to shape stakeholder generative models to align with the firm's strategic objectives C) A company biography D) Annual report  A credible signal differs from cheap talk by being: A) Louder B) Costly or irreversible — hard to fake, therefore informative to recipients C) Written rather than spoken D) Official  Tesla's strategic communication: A) Only targets customers B) Simultaneously shapes investor models (extending time horizons), customer models (building anticipation), and competitor models (deterring entry) C) Is traditional advertising D) Targets regulators only  Brand equity under Active Inference is: A) A financial metric B) The precision of the shared generative model between the firm and its customers — consistency of expectations C) A logo design D) Market share  Competitive signaling through capacity expansion works because: A) Factories are impressive B) A costly, irreversible investment credibly communicates commitment to a market C) It creates jobs D) It impresses the media  Strategic ambiguity is rational when: A) You're confused B) Preserving optionality is more valuable than committing to a specific position C) Communication is expensive D) You have nothing to say  An investor narrative is credible when: A) It's optimistic B) It's consistent with operational evidence and backed by demonstrable commitment C) It promises high returns D) The CEO is charismatic    Part B: Short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