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05: Action in Robotics — Autonomous Decision and Execution</w:t>
      </w:r>
    </w:p>
    <w:p>
      <w:r>
        <w:t>Learning Objectives</w:t>
      </w:r>
    </w:p>
    <w:p>
      <w:r>
        <w:t>Define autonomous action as self-directed policy execution that selects and performs motor behaviors without human oversight.  Analyze how autonomous agents choose between exploitation (executing known effective policies) and exploration (testing new behaviors to improve the model).  Apply the Expected Free Energy framework to explain autonomous action in unstructured environments.   Introduction</w:t>
      </w:r>
    </w:p>
    <w:p>
      <w:r>
        <w:t>An autonomous robot's action repertoire must be far richer than a teleoperated or pre-programmed robot's — it must independently decide what to do, when to do it, and how to adjust when things don't go as planned. This module examines autonomous action: the capacity to select, execute, and adapt motor policies in real time without human guidance.</w:t>
      </w:r>
    </w:p>
    <w:p>
      <w:r>
        <w:t>Key Concepts</w:t>
      </w:r>
    </w:p>
    <w:p>
      <w:r>
        <w:t>1. Policy Selection Under Uncertainty</w:t>
      </w:r>
    </w:p>
    <w:p>
      <w:r>
        <w:t>Autonomous agents select actions from a policy library by evaluating Expected Free Energy:</w:t>
      </w:r>
    </w:p>
    <w:p>
      <w:r>
        <w:t>Known-good policies : Actions the agent has executed before with reliable outcomes — high-precision model predictions, low EFE → exploitation  Novel policies : Actions the agent hasn't tried — uncertain outcomes, but potentially high information gain → exploration  Emergency policies : Pre-specified responses to dangerous situations (collision imminent → emergency stop) — override all other policy selection   The EFE naturally balances these: early in a task or in an unfamiliar environment, epistemic value dominates (exploration); as the model matures, pragmatic value dominates (exploitation).</w:t>
      </w:r>
    </w:p>
    <w:p>
      <w:r>
        <w:t>2. Task and Motion Planning Integration (TAMP)</w:t>
      </w:r>
    </w:p>
    <w:p>
      <w:r>
        <w:t>Autonomous action requires integrating symbolic task planning (what sequence of actions achieves the goal?) with continuous motion planning (what trajectory executes each action?):</w:t>
      </w:r>
    </w:p>
    <w:p>
      <w:r>
        <w:t>Task layer: "Pick up the object → Move to the target → Place the object" (symbolic action sequence)  Motion layer: "Joint trajectory from configuration A to B that avoids obstacles" (continuous optimization)  TAMP integrates both: the task planner proposes symbolic plans, the motion planner checks feasibility, and infeasible plans are rejected and re-planned   3. Failure Recovery</w:t>
      </w:r>
    </w:p>
    <w:p>
      <w:r>
        <w:t>Autonomous agents must detect and recover from action failures:</w:t>
      </w:r>
    </w:p>
    <w:p>
      <w:r>
        <w:t>Grasp failure : The object slips during manipulation → detect through tactile prediction error → re-plan grasp  Navigation failure : The planned path is blocked → detect through perception → re-plan route  Task failure : The overall task cannot be completed → escalate to human operator or modify the goal   Failure detection is Active Inference surprise detection: a spike in prediction error signals that the current policy is not achieving its predicted outcomes.</w:t>
      </w:r>
    </w:p>
    <w:p>
      <w:r>
        <w:t>4. Human-Aware Action</w:t>
      </w:r>
    </w:p>
    <w:p>
      <w:r>
        <w:t>Autonomous robots operating near humans must consider human comfort, predictability, and safety:</w:t>
      </w:r>
    </w:p>
    <w:p>
      <w:r>
        <w:t>Legible motion : The robot's movements should telegraph its intentions — humans should be able to predict what the robot will do next  Socially compliant navigation : The robot should follow implicit social rules (yield to humans, maintain personal space, move at comfortable speeds)  Proactive assistance : An autonomous assistant should predict human needs and act pre-emptively (pre-positioning tools, clearing workspace, opening doors)   Applications</w:t>
      </w:r>
    </w:p>
    <w:p>
      <w:r>
        <w:t>Autonomous bin picking : A warehouse robot autonomously selects grasp strategies for randomly oriented parts in a bin — evaluating grasp quality (pragmatic EFE) and part identification confidence (epistemic EFE), executing the best grasp, and recovering from failures by re-sensing and re-planning.  Autonomous eldercare assistant : A home robot autonomously performs routine assistance tasks — fetching medication, clearing dishes, monitoring wellness — using human-aware motion planning that adapts its speed and approach direction to the resident's comfort and cognitive state.   Conclusion</w:t>
      </w:r>
    </w:p>
    <w:p>
      <w:r>
        <w:t>Autonomous action integrates policy selection, task-motion planning, failure recovery, and human-aware behavior. Each component implements Active Inference at different levels — from low-level motor execution to high-level task strategy. The next module examines autonomous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