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Interoception is the perception of:</w:t>
        <w:br/>
        <w:t>A) External visual stimuli</w:t>
        <w:br/>
        <w:t>B) Internal bodily states such as heartbeat, breathing, and gut sensations</w:t>
        <w:br/>
        <w:t>C) Other people's emotional states</w:t>
        <w:br/>
        <w:t>D) The spatial layout of the environment</w:t>
      </w:r>
    </w:p>
    <w:p>
      <w:r>
        <w:t>The anterior insular cortex is primarily associated with:</w:t>
        <w:br/>
        <w:t>A) Visual perception and object recognition</w:t>
        <w:br/>
        <w:t>B) Interoceptive processing and integration of internal bodily signals</w:t>
        <w:br/>
        <w:t>C) Motor planning and execution</w:t>
        <w:br/>
        <w:t>D) Language production (Broca's area)</w:t>
      </w:r>
    </w:p>
    <w:p>
      <w:r>
        <w:t>The rubber hand illusion demonstrates that:</w:t>
        <w:br/>
        <w:t>A) Visual perception always overrides tactile perception</w:t>
        <w:br/>
        <w:t>B) Body ownership is an inference based on multisensory prediction error minimization</w:t>
        <w:br/>
        <w:t>C) The brain cannot distinguish between real and artificial limbs</w:t>
        <w:br/>
        <w:t>D) Touch is the most reliable sensory modality</w:t>
      </w:r>
    </w:p>
    <w:p>
      <w:r>
        <w:t>In Active Inference, depersonalization may result from:</w:t>
        <w:br/>
        <w:t>A) Excessive precision on interoceptive prediction errors</w:t>
        <w:br/>
        <w:t>B) Low precision on interoceptive prediction errors, attenuating the self-model</w:t>
        <w:br/>
        <w:t>C) Damage to the motor cortex</w:t>
        <w:br/>
        <w:t>D) Overactivity in the visual cortex</w:t>
      </w:r>
    </w:p>
    <w:p>
      <w:r>
        <w:t>Body integrity identity disorder (BIID) illustrates:</w:t>
        <w:br/>
        <w:t>A) A mismatch between the physical body and the generative model's body representation</w:t>
        <w:br/>
        <w:t>B) A purely psychiatric condition with no neurological basis</w:t>
        <w:br/>
        <w:t>C) Normal variation in body image</w:t>
        <w:br/>
        <w:t>D) A failure of motor control</w:t>
      </w:r>
    </w:p>
    <w:p>
      <w:r>
        <w:t>Emotional experience, according to interoceptive inference accounts, is:</w:t>
        <w:br/>
        <w:t>A) A purely cognitive judgment about a situation</w:t>
        <w:br/>
        <w:t>B) A prediction about the causes of interoceptive signals (a "gut feeling" is literally a prediction)</w:t>
        <w:br/>
        <w:t>C) An entirely separate system from perception and cognition</w:t>
        <w:br/>
        <w:t>D) A behavioral response with no subjective component</w:t>
      </w:r>
    </w:p>
    <w:p>
      <w:r>
        <w:t>The somatic marker hypothesis (Damasio) proposes that:</w:t>
        <w:br/>
        <w:t>A) The body has no role in decision-making</w:t>
        <w:br/>
        <w:t>B) Bodily signals (heart rate, gut feelings) function as emotional tags that guide decisions</w:t>
        <w:br/>
        <w:t>C) Somatic markers are always accurate</w:t>
        <w:br/>
        <w:t>D) All emotional processing occurs in the amygdala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