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Digital Transformation — Module 07: Communication</w:t>
      </w:r>
    </w:p>
    <w:p>
      <w:r>
        <w:t>Name : _ _ _  Date : _ _ _</w:t>
      </w:r>
    </w:p>
    <w:p>
      <w:r>
        <w:t>Part A: Multiple Choice</w:t>
      </w:r>
    </w:p>
    <w:p>
      <w:r>
        <w:t>Disney's MagicBand creates value through: A) Wearable technology B) Omnichannel coherence — the same customer identity and experience across physical, digital, and wearable touchpoints C) Data collection D) Theme park access  APIs function as organizational communication because: A) They connect computers B) They define what data passes between systems and what stays private — the communication protocol of the digital organization C) They're technical D) Developers use them  Digital collaboration tools (Slack, Teams) change organizations by: A) Replacing email B) Reducing hierarchy, enabling parallel conversations, creating searchable organizational memory, but risking overload C) Being faster D) Costing less  Omnichannel communication requires: A) Many channels B) A unified model of the customer/stakeholder maintained consistently across all touchpoints C) Expensive technology D) A marketing team  The paradox of digital communication is: A) It's expensive B) More channels can create more noise and fragmentation rather than better understanding C) It's unreliable D) It's too fast  An API design decision about what data to share is: A) Technical only B) A boundary management decision — what crosses the Markov blanket between systems C) Trivial D) Irrelevant  Channel proliferation becomes a problem when: A) There are too many B) People can't find the right information across multiple overlapping channels, decreasing organizational signal quality C) Channels are expensive D) IT objects    Part B: Short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