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</w:t>
      </w:r>
    </w:p>
    <w:p>
      <w:r>
        <w:t>Part A: Multiple Choice</w:t>
      </w:r>
    </w:p>
    <w:p>
      <w:r>
        <w:t>A cortical column can be understood as:</w:t>
        <w:br/>
        <w:t>A) A complete brain region responsible for a single cognitive function</w:t>
        <w:br/>
        <w:t>B) A local inference engine maintaining predictions about specific sensory features</w:t>
        <w:br/>
        <w:t>C) A random grouping of neurons with no functional significance</w:t>
        <w:br/>
        <w:t>D) A structure found only in the visual cortex</w:t>
      </w:r>
    </w:p>
    <w:p>
      <w:r>
        <w:t>The Markov Blanket of the brain is best identified with:</w:t>
        <w:br/>
        <w:t>A) The skull and meninges</w:t>
        <w:br/>
        <w:t>B) The sensory and motor surfaces of the body</w:t>
        <w:br/>
        <w:t>C) The blood-brain barrier</w:t>
        <w:br/>
        <w:t>D) The corpus callosum connecting the two hemispheres</w:t>
      </w:r>
    </w:p>
    <w:p>
      <w:r>
        <w:t>Resting-state fMRI activity reflects:</w:t>
        <w:br/>
        <w:t>A) Neural noise with no functional significance</w:t>
        <w:br/>
        <w:t>B) The brain's ongoing generative model — prior predictions maintained even without external stimulation</w:t>
        <w:br/>
        <w:t>C) Damage to the default mode network</w:t>
        <w:br/>
        <w:t>D) The brain entering a sleep-like state</w:t>
      </w:r>
    </w:p>
    <w:p>
      <w:r>
        <w:t>The salience network, anchored by the anterior insula and dACC, likely implements:</w:t>
        <w:br/>
        <w:t>A) Long-term memory storage</w:t>
        <w:br/>
        <w:t>B) Precision weighting — determining which prediction errors are amplified</w:t>
        <w:br/>
        <w:t>C) Motor planning and execution</w:t>
        <w:br/>
        <w:t>D) Language comprehension</w:t>
      </w:r>
    </w:p>
    <w:p>
      <w:r>
        <w:t>Anosognosia (unawareness of deficit) is best explained in Active Inference as:</w:t>
        <w:br/>
        <w:t>A) Psychological denial as a defense mechanism</w:t>
        <w:br/>
        <w:t>B) A failure to update the generative model's self-component despite contradictory sensory evidence</w:t>
        <w:br/>
        <w:t>C) Damage to the visual cortex preventing visual feedback</w:t>
        <w:br/>
        <w:t>D) An emotional response to trauma</w:t>
      </w:r>
    </w:p>
    <w:p>
      <w:r>
        <w:t>The mismatch negativity (MMN) in EEG experiments is considered a neural correlate of:</w:t>
        <w:br/>
        <w:t>A) Motor intention</w:t>
        <w:br/>
        <w:t>B) Prediction error — the brain's response to a stimulus that violates expected patterns</w:t>
        <w:br/>
        <w:t>C) Memory consolidation</w:t>
        <w:br/>
        <w:t>D) Emotional processing</w:t>
      </w:r>
    </w:p>
    <w:p>
      <w:r>
        <w:t>The hierarchical organization of cortex (primary → association areas) maps onto:</w:t>
        <w:br/>
        <w:t>A) The temporal sequence of neural development</w:t>
        <w:br/>
        <w:t>B) The hierarchical depth of the generative model (concrete → abstract predictions)</w:t>
        <w:br/>
        <w:t>C) The physical distance from the brainstem</w:t>
        <w:br/>
        <w:t>D) The density of myelinated axons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