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Thermodynamic Inference — Module 02: Agents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agents map onto the physical processes observed in phase equilibria, transformation kinetics, and calphad?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agents with the Active Inference interpretation. What additional insights does the FEP framework provide?</w:t>
      </w:r>
    </w:p>
    <w:p>
      <w:r>
        <w:t>How does the concept of a Markov blanket help formalize the boundary conditions relevant to agents in metallurgical systems?</w:t>
      </w:r>
    </w:p>
    <w:p>
      <w:r>
        <w:t>Explain how prediction error manifests in the context of agents during a non-equilibrium process such as rapid quenching of an Fe-C alloy.</w:t>
      </w:r>
    </w:p>
    <w:p>
      <w:r>
        <w:t>How does the precision (inverse variance) of characterization measurements affect our ability to study agents in real materials?</w:t>
      </w:r>
    </w:p>
    <w:p>
      <w:r>
        <w:t>Discuss the role of nested systems (atoms -&gt; grains -&gt; components) in the context of agents. How does information flow between scales?</w:t>
      </w:r>
    </w:p>
    <w:p>
      <w:r>
        <w:t>What is the "generative model" that governs agents in a binary alloy system? How is this model encoded physically?</w:t>
      </w:r>
    </w:p>
    <w:p>
      <w:r>
        <w:t>Compare how agents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agents?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agents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agents in the Fe-C system. Describe the expected outputs.</w:t>
      </w:r>
    </w:p>
    <w:p>
      <w:r>
        <w:t>How would you use the concept of agents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agents and model updating.</w:t>
      </w:r>
    </w:p>
    <w:p>
      <w:r>
        <w:t>You are tasked with designing a new high-entropy alloy. How does expected free energy (balancing pragmatic and epistemic value) guide your experimental plan for studying agents?</w:t>
      </w:r>
    </w:p>
    <w:p>
      <w:r>
        <w:t>Describe how digital twin technology implements agents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agents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