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Strategic Modeling — Module 04: Cognition</w:t>
      </w:r>
    </w:p>
    <w:p>
      <w:r>
        <w:t>Name : _ _ _  Date : _ _ _</w:t>
      </w:r>
    </w:p>
    <w:p>
      <w:r>
        <w:t>Part A: Multiple Choice</w:t>
      </w:r>
    </w:p>
    <w:p>
      <w:r>
        <w:t>A "strategic inflection point" (Grove) is: A) A turning point in stock price B) A moment when the assumptions underlying a firm's strategy are invalidated C) An intersection of strategies D) A meeting point  Assumption-based planning involves: A) Making assumptions B) Surfacing, classifying, and monitoring the assumptions underlying strategy C) Trusting assumptions D) Eliminating assumptions  The planning fallacy causes organizations to: A) Plan too much B) Systematically underestimate time, cost, and risk of strategic initiatives C) Avoid planning D) Plan perfectly  A Red Team exercise involves: A) Team building B) Deliberately stress-testing strategy by assigning a team to find weaknesses C) Competitive analysis D) Military exercises  The narrative fallacy means: A) Stories are useful B) Constructing coherent stories to explain outcomes that were driven by chance, leading to false causal reasoning C) Marketing narratives D) Brand storytelling  Reference class forecasting improves predictions by: A) Creating references B) Comparing the current decision to a class of similar past decisions for more accurate estimation C) Using classrooms D) Academic research  Overconfidence is dangerous in strategy because: A) It motivates people B) It leads organizations to underestimate uncertainty and overcommit to strategic bets C) It builds culture D) It reduces analysis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