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Digital Transformation — Module 05: Action</w:t>
      </w:r>
    </w:p>
    <w:p>
      <w:r>
        <w:t>Name : _ _ _  Date : _ _ _</w:t>
      </w:r>
    </w:p>
    <w:p>
      <w:r>
        <w:t>Part A: Multiple Choice</w:t>
      </w:r>
    </w:p>
    <w:p>
      <w:r>
        <w:t>Tesla's manufacturing experience shows that optimal automation is: A) Maximum B) Hybrid — balancing machine precision with human flexibility C) Minimum D) Full lights-out  The best automation candidates are processes that are: A) Creative and unpredictable B) High volume, rule-based, stable, and error-sensitive C) Low volume and complex D) Human-facing  The rigidity-agility trade-off means automation: A) Is always rigid B) Increases efficiency but reduces the organization's ability to adapt to novel situations C) Is always agile D) Has no trade-offs  RPA (Robotic Process Automation) is best for: A) Complex judgment B) Rule-based, repetitive tasks that follow clear procedures across multiple systems C) Creative work D) Strategy decisions  Process automation changes human work by: A) Eliminating all jobs B) Shifting human work toward exception handling, oversight, and tasks requiring judgment C) Creating more routine work D) Having no effect  An automation pilot should focus on: A) The biggest process B) A high-impact, manageable process that demonstrates value and generates learning C) Everything at once D) The cheapest process  The total cost of ownership of automation includes: A) Just software licenses B) Implementation, maintenance, exception handling, monitoring, and change management costs over the system's lifecycle C) Just hardware D) Just labor savings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