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Strategic Modeling — Module 03: Perception</w:t>
      </w:r>
    </w:p>
    <w:p>
      <w:r>
        <w:t>Name : _ _ _  Date : _ _ _</w:t>
      </w:r>
    </w:p>
    <w:p>
      <w:r>
        <w:t>Part A: Multiple Choice</w:t>
      </w:r>
    </w:p>
    <w:p>
      <w:r>
        <w:t>Kodak's failure was primarily: A) Technology failure B) Perceptual filtering — the organization's model filtered out the weak signal of digital imaging C) Marketing failure D) Financial mismanagement  Weak signals (Ansoff) are: A) Low-volume audio B) Early, ambiguous indicators of significant future changes that require broad, low-precision scanning C) Signals with low amplitude D) Insignificant data  The key difference between tactical and strategic perception is: A) Budget B) Time horizon — tactical senses current market, strategic senses structural shifts C) Team size D) Tools used  Proximity bias in strategic perception means: A) Preferring nearby offices B) Over-attending to nearby competitors while missing distant disruptors C) Geographic strategy D) Supply chain focus  A competitive intelligence system must include: A) Only data collection B) Collection, analysis, dissemination, and integration with strategic decisions C) Only monitoring competitors D) Only market research  Quantification bias causes organizations to: A) Be too precise B) Ignore qualitative signals that don't fit neat metrics, missing important subjective information C) Over-invest in analytics D) Hire more analysts  Environmental scanning should be: A) Narrow and focused B) Broad enough to catch weak signals from unexpected sources C) Limited to known competitors D) Annual    Part B: Short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