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</w:t>
      </w:r>
    </w:p>
    <w:p>
      <w:r>
        <w:t>Part A: Multiple Choice</w:t>
      </w:r>
    </w:p>
    <w:p>
      <w:r>
        <w:t>In Active Inference, motor commands are best understood as:</w:t>
        <w:br/>
        <w:t>A) Explicit signals from motor cortex to muscles specifying force and direction</w:t>
        <w:br/>
        <w:t>B) Precision-weighted proprioceptive predictions resolved by spinal reflex arcs</w:t>
        <w:br/>
        <w:t>C) Random motor outputs filtered by reinforcement learning</w:t>
        <w:br/>
        <w:t>D) Copies of sensory signals reflected back to the periphery</w:t>
      </w:r>
    </w:p>
    <w:p>
      <w:r>
        <w:t>The spinal stretch reflex, in the Active Inference framework, functions as:</w:t>
        <w:br/>
        <w:t>A) A primitive safety mechanism unrelated to cognition</w:t>
        <w:br/>
        <w:t>B) The final stage of hierarchical inference — resolving prediction error between predicted and actual body position</w:t>
        <w:br/>
        <w:t>C) A feedback mechanism operating independently from cortical predictions</w:t>
        <w:br/>
        <w:t>D) A learned reflex that requires extensive practice</w:t>
      </w:r>
    </w:p>
    <w:p>
      <w:r>
        <w:t>Active sensing (e.g., saccadic eye movements) is driven by:</w:t>
        <w:br/>
        <w:t>A) Random exploration of the visual field</w:t>
        <w:br/>
        <w:t>B) Expected Free Energy — moving the eyes to locations that maximally reduce expected ambiguity</w:t>
        <w:br/>
        <w:t>C) Bottom-up visual contrast only</w:t>
        <w:br/>
        <w:t>D) Social cues about where to look</w:t>
      </w:r>
    </w:p>
    <w:p>
      <w:r>
        <w:t>Bradykinesia in Parkinson's disease is explained in Active Inference as:</w:t>
        <w:br/>
        <w:t>A) Muscle weakness from motor neuron degeneration</w:t>
        <w:br/>
        <w:t>B) Reduced precision on motor predictions due to dopamine loss — the brain cannot commit to a single motor plan</w:t>
        <w:br/>
        <w:t>C) Excessive motor predictions leading to uncontrolled movement</w:t>
        <w:br/>
        <w:t>D) An emotional reluctance to move</w:t>
      </w:r>
    </w:p>
    <w:p>
      <w:r>
        <w:t>Functional motor disorder (paralysis with no neurological cause) is explained as:</w:t>
        <w:br/>
        <w:t>A) A psychological choice to not move</w:t>
        <w:br/>
        <w:t>B) A strong prior belief about inability that overrides motor predictions through high precision</w:t>
        <w:br/>
        <w:t>C) Subclinical damage too small to detect on MRI</w:t>
        <w:br/>
        <w:t>D) A purely linguistic misunderstanding of the patient's symptoms</w:t>
      </w:r>
    </w:p>
    <w:p>
      <w:r>
        <w:t>In the visuomotor adaptation paradigm (prism glasses), the "aftereffect" occurs because:</w:t>
        <w:br/>
        <w:t>A) The muscles have become physically reshaped</w:t>
        <w:br/>
        <w:t>B) The generative model has updated to expect the prism-shifted mapping, producing errors when the prisms are removed</w:t>
        <w:br/>
        <w:t>C) The participant consciously remembers the prism shift</w:t>
        <w:br/>
        <w:t>D) The cerebellum has been permanently altered</w:t>
      </w:r>
    </w:p>
    <w:p>
      <w:r>
        <w:t>Mirror neuron activity during action observation can be interpreted as:</w:t>
        <w:br/>
        <w:t>A) The brain automatically predicting the motor trajectory of the observed action</w:t>
        <w:br/>
        <w:t>B) Simple imitation with no inferential component</w:t>
        <w:br/>
        <w:t>C) Emotional contagion unrelated to motor prediction</w:t>
        <w:br/>
        <w:t>D) An artifact of fMRI methodology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