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Behavioral Paradigms for Active Inference</w:t>
      </w:r>
    </w:p>
    <w:p>
      <w:r>
        <w:t>Learning Goal: Design, analyze, and evaluate behavioral experiments testing Active Inference predictions.</w:t>
      </w:r>
    </w:p>
    <w:p>
      <w:r>
        <w:t>Part 1: Eye-Tracking Experiment Design</w:t>
      </w:r>
    </w:p>
    <w:p>
      <w:r>
        <w:t>Exercise : Design an eye-tracking study testing epistemic foraging:</w:t>
      </w:r>
    </w:p>
    <w:p>
      <w:r>
        <w:t>Task : Visual scene containing objects at 8 locations. Some locations are familiar (low uncertainty), others novel (high uncertainty). Participant's goal: identify all objects.</w:t>
      </w:r>
    </w:p>
    <w:p>
      <w:r>
        <w:t>Active Inference prediction : First fixations should be directed toward high-uncertainty (novel) locations — epistemic foraging maximizes information gain.</w:t>
      </w:r>
    </w:p>
    <w:p>
      <w:r>
        <w:t>Specify:</w:t>
      </w:r>
    </w:p>
    <w:p>
      <w:r>
        <w:t>Stimulus design : 8 objects, 4 familiar (seen in training) + 4 novel  Dependent variable : Proportion of first fixations to novel vs. familiar locations  Expected result : &gt;70% first fixations to novel locations  Control experiment : Repeat with explicit reward at specific locations (pragmatic motive) — does pragmatic value override epistemic foraging?  Analysis : Compute information gain for each fixation sequence and correlate with scanpath data   Write your response here  Part 2: Pupillometry Experiment</w:t>
      </w:r>
    </w:p>
    <w:p>
      <w:r>
        <w:t>Learning Goal: Design a pupillometry study testing precision and surprise.</w:t>
      </w:r>
    </w:p>
    <w:p>
      <w:r>
        <w:t>Exercise : Task = auditory oddball with 3 conditions:</w:t>
      </w:r>
    </w:p>
    <w:p>
      <w:r>
        <w:t>Condition  Standard Probability  Deviant Probability  Expected Pupil Response to Deviant      Predictable  90%  10%  Large dilation (high PE due to strong prediction)    Moderate  70%  30%  Moderate dilation    Unpredictable  50%  50%  Small dilation (weak prediction = small PE)     Prediction : Pupil dilation to deviants scales with prediction strength (more predictable contexts → larger PE → larger pupil dilation).</w:t>
      </w:r>
    </w:p>
    <w:p>
      <w:r>
        <w:t>Additionally measure tonic pupil size :</w:t>
      </w:r>
    </w:p>
    <w:p>
      <w:r>
        <w:t>Unpredictable condition → larger tonic pupils (higher uncertainty / volatility)  Predictable condition → smaller tonic pupils   Specify the analysis: How do you isolate the phasic (event-related) from tonic pupil components?</w:t>
      </w:r>
    </w:p>
    <w:p>
      <w:r>
        <w:t>Write your response here  Part 3: Reversal Learning Analysis</w:t>
      </w:r>
    </w:p>
    <w:p>
      <w:r>
        <w:t>Learning Goal: Analyze computational signatures in reversal learning data.</w:t>
      </w:r>
    </w:p>
    <w:p>
      <w:r>
        <w:t>Exercise : A participant completes 200 trials of probabilistic reversal learning (2 options, reward reversals every ~30 trials):</w:t>
      </w:r>
    </w:p>
    <w:p>
      <w:r>
        <w:t>Behavioral signatures to identify :</w:t>
      </w:r>
    </w:p>
    <w:p>
      <w:r>
        <w:t>Signature  Description  Computational Interpretation      Win-stay probability  P(repeat choice  previous reward)    Lose-shift probability  P(switch  previous loss)    Post-reversal perseveration  Trials to switch after reversal  Prior volatility ω (low ω → more perseveration)    Pre-reversal switching  Premature switches before reversal  High ω (over-estimating volatility)    Choice consistency  Overall stability of choice patterns  β (policy precision)     Estimate the participant's computational phenotype from these behavioral signatures.</w:t>
      </w:r>
    </w:p>
    <w:p>
      <w:r>
        <w:t>Write your response here  Part 4: Information Sampling Task</w:t>
      </w:r>
    </w:p>
    <w:p>
      <w:r>
        <w:t>Learning Goal: Design a task that measures the exploration-exploitation trade-off.</w:t>
      </w:r>
    </w:p>
    <w:p>
      <w:r>
        <w:t>Exercise : Design a "when to commit" task:</w:t>
      </w:r>
    </w:p>
    <w:p>
      <w:r>
        <w:t>Task : Participant sees 12 boxes. Each box hides a token (red or blue). They can open boxes (information sampling) or commit to guessing which color is majority (decision). Reward if correct.</w:t>
      </w:r>
    </w:p>
    <w:p>
      <w:r>
        <w:t>Active Inference prediction : Agent opens boxes until EFE(commit) &lt; EFE(sample):</w:t>
      </w:r>
    </w:p>
    <w:p>
      <w:r>
        <w:t>G(commit) = risk of wrong guess (pragmatic cost)  G(sample) = cost of time + expected information gain   Manipulation : Vary the cost of sampling (low cost vs. high cost per box opened)</w:t>
      </w:r>
    </w:p>
    <w:p>
      <w:r>
        <w:t>Sampling Cost  Predicted Behavior  AI Parameter      Low (1 point per box)  Open many boxes (~8-10)  High epistemic value threshold    High (5 points per box)  Open few boxes (~3-4)  Lower threshold, accept more risk     How would clinical populations differ? (Jumping-to-conclusions in schizophrenia → open fewer boxes)</w:t>
      </w:r>
    </w:p>
    <w:p>
      <w:r>
        <w:t>Write your response here  Part 5: Reflection</w:t>
      </w:r>
    </w:p>
    <w:p>
      <w:r>
        <w:t>In 300 words, reflect: Behavioral experiments are necessarily indirect — we observe choices, reaction times, and eye movements, not prediction errors or precision. How confident can we be that the computational variables we infer actually correspond to brain processes? What additional evidence (neural, pharmacological) is needed?</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