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Phase Diagrams as Generative Models</w:t>
      </w:r>
    </w:p>
    <w:p>
      <w:r>
        <w:t>Introduction</w:t>
      </w:r>
    </w:p>
    <w:p>
      <w:r>
        <w:t>This module explores Systems within the context of Thermodynamic Inference . In the Active Inference framework, systems plays a critical role in how systems maintain their identity, process information, and adapt to perturbation. Here we examine this through the lens of phase equilibria, transformation kinetics, and calphad.</w:t>
      </w:r>
    </w:p>
    <w:p>
      <w:r>
        <w:t>Key themes : Binary and ternary phase diagrams as predictive maps, tie lines, lever rule</w:t>
      </w:r>
    </w:p>
    <w:p>
      <w:r>
        <w:t>Learning Objectives</w:t>
      </w:r>
    </w:p>
    <w:p>
      <w:r>
        <w:t>By the end of this module, you will be able to:</w:t>
      </w:r>
    </w:p>
    <w:p>
      <w:r>
        <w:t>Define Systems within the Active Inference framework as it applies to metallurgical systems  Identify how systems manifests in phase equilibria, transformation kinetics, and calphad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systems refers to the process by which systems maintain and update their relationship with the environment. For metallurgical systems, this maps directly onto physical processes: Binary and ternary phase diagrams as predictive maps, tie lines, lever rule.</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Binary and ternary phase diagrams as predictive maps, tie lines, lever rule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