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High School</w:t>
      </w:r>
    </w:p>
    <w:p>
      <w:r>
        <w:t>Learning Objectives</w:t>
      </w:r>
    </w:p>
    <w:p>
      <w:r>
        <w:t>Define Agents within the context of High School.  Analyze how Agents interacts with other components of the Active Inference framework.  Apply specific constraints of High School to the formal definition of Agents.   Introduction</w:t>
      </w:r>
    </w:p>
    <w:p>
      <w:r>
        <w:t>This module explores Agents . In the High School curriculum, we approach this topic with a focus on specific applications and theoretical depth appropriate for the audience. Agents is a critical component of the 8-part Active Inference spine, bridging the gap between Systems and Perception.</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High School, we see Agents manifest in:</w:t>
        <w:br/>
        <w:t>* Specific Example 1 : In game theory, a chess-playing agent can be modeled mathematically as an Active Inference system: the agent maintains a probability distribution over possible board states (beliefs), updates these beliefs after each opponent move using Bayes' theorem, and selects the move that minimizes expected free energy -- balancing exploitation of known good positions with exploration of uncertain but potentially advantageous lines.</w:t>
        <w:br/>
        <w:t>* Specific Example 2 : A simple random walk on a number line (where a point moves +1 or -1 with equal probability) becomes an Active Inference agent when you add a preferred state: if the agent "wants" to stay near zero, it biases its step probabilities using a mathematical objective function that penalizes deviation, turning a passive stochastic process into an agent that actively minimizes surprise relative to its goal.</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