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High School</w:t>
      </w:r>
    </w:p>
    <w:p>
      <w:r>
        <w:t>Learning Objectives</w:t>
      </w:r>
    </w:p>
    <w:p>
      <w:r>
        <w:t>Define Planning within the context of High School.  Analyze how Planning interacts with other components of the Active Inference framework.  Apply specific constraints of High School to the formal definition of Planning.   Introduction</w:t>
      </w:r>
    </w:p>
    <w:p>
      <w:r>
        <w:t>This module explores Planning . In the High School curriculum, we approach this topic with a focus on specific applications and theoretical depth appropriate for the audience. Planning is a critical component of the 8-part Active Inference spine, bridging the gap between Communication and Systems.</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High School, we see Planning manifest in:</w:t>
        <w:br/>
        <w:t>* Specific Example 1 : Decision trees in probability class are mathematical planning structures: at each branch point you evaluate the expected value E[X] = sum(x_i * p_i) of each possible outcome, and the rational plan follows the path that maximizes expected reward (or equivalently minimizes expected free energy) -- for example, deciding whether to study for two tests by calculating which allocation of study hours minimizes your total expected grade loss.</w:t>
        <w:br/>
        <w:t>* Specific Example 2 : The shortest-path algorithms you learn in discrete math (like Dijkstra's algorithm) formalize planning as mathematical optimization: the algorithm evaluates all possible routes through a weighted graph, maintains a priority queue of candidates ranked by cumulative cost, and greedily selects the path that minimizes total distance -- this is precisely how Active Inference agents plan by evaluating policies and selecting the one with lowest expected free energy across future time steps.</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