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Middle School</w:t>
      </w:r>
    </w:p>
    <w:p>
      <w:r>
        <w:t>Learning Objectives</w:t>
      </w:r>
    </w:p>
    <w:p>
      <w:r>
        <w:t>Define Learning within the context of Middle School.  Analyze how Learning interacts with other components of the Active Inference framework.  Apply specific constraints of Middle School to the formal definition of Learning.   Introduction</w:t>
      </w:r>
    </w:p>
    <w:p>
      <w:r>
        <w:t>This module explores Learning . In the Middle School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Middle School, we see Learning manifest in:</w:t>
        <w:br/>
        <w:t>* Specific Example 1 : Training an AI to recognize handwritten digits works just like human learning through prediction errors. The model starts by guessing randomly, gets told "that 7 is not a 1," and adjusts its internal weights to make fewer mistakes next time. After seeing thousands of examples and correcting thousands of prediction errors, it builds a model accurate enough to read messy handwriting that even some humans struggle with.</w:t>
        <w:br/>
        <w:t>* Specific Example 2 : When you learn a new programming language after already knowing one, your brain transfers its existing model and then updates it where the languages differ. If you know Python and start learning JavaScript, you predict that print() will work -- but it does not, so you learn console.log() instead. Each prediction error from your old model helps you build the new one faster, which is why the second programming language is always easier than the first.</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