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Embodied</w:t>
      </w:r>
    </w:p>
    <w:p>
      <w:r>
        <w:t>Learning Objectives</w:t>
      </w:r>
    </w:p>
    <w:p>
      <w:r>
        <w:t>Define Action within the context of Embodied.  Analyze how Action interacts with other components of the Active Inference framework.  Apply specific constraints of Embodied to the formal definition of Action.   Introduction</w:t>
      </w:r>
    </w:p>
    <w:p>
      <w:r>
        <w:t>This module explores Action . In the Embodied curriculum, we approach this topic with a focus on specific applications and theoretical depth appropriate for the audience. Action is a critical component of the 8-part Active Inference spine, bridging the gap between Cognition and Learning.</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Embodied, we see Action manifest in:</w:t>
        <w:br/>
        <w:t>* Specific Example 1 : A jazz musician's fingers find an unexpected chord substitution during a live solo that perfectly resolves the harmonic tension -- she did not plan it, her hands simply "knew" where to go; this is intuitive action as active inference, where the generative model's musical priors are so deeply embodied in the motor system that prediction error minimization in the harmonic domain is accomplished through finger movements that bypass deliberate thought entirely.</w:t>
        <w:br/>
        <w:t>* Specific Example 2 : An aikido master responds to an attacker's grab with a fluid redirect that seems effortless and instantaneous; his body acts from decades of embodied training where the generative model has learned that certain tactile-proprioceptive patterns at the Markov blanket (pressure, angle, momentum) predict specific trajectories, and the optimal response emerges as a whole-body action policy that minimizes free energy across the coupled attacker-defender system without requiring conscious deliberation.</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