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Embodied</w:t>
      </w:r>
    </w:p>
    <w:p>
      <w:r>
        <w:t>Learning Objectives</w:t>
      </w:r>
    </w:p>
    <w:p>
      <w:r>
        <w:t>Define Communication within the context of Embodied.  Analyze how Communication interacts with other components of the Active Inference framework.  Apply specific constraints of Embodied to the formal definition of Communication.   Introduction</w:t>
      </w:r>
    </w:p>
    <w:p>
      <w:r>
        <w:t>This module explores Communication . In the Embodied curriculum, we approach this topic with a focus on specific applications and theoretical depth appropriate for the audience. Communication is a critical component of the 8-part Active Inference spine, bridging the gap between Learning and Planning.</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Embodied, we see Communication manifest in:</w:t>
        <w:br/>
        <w:t>* Specific Example 1 : An experienced negotiator intuitively senses the moment to make a concession -- not from any explicit signal but from a subtle shift in the room's energy that she registers as a loosening in her own shoulders and a slight forward lean in her counterpart; this intuitive communication operates across social Markov blankets, where her generative model has learned to decode micro-postural and tonal cues into predictions about the other party's internal state, transmitted as embodied knowing rather than propositional analysis.</w:t>
        <w:br/>
        <w:t>* Specific Example 2 : A mother intuitively distinguishes her infant's hungry cry from the pain cry from across the house, feeling a corresponding pull in her breasts for the first and a sharp alertness in her solar plexus for the second; this communication channel between parent and infant operates through deeply evolved embodied priors in the generative model, where the acoustic signal at the Markov blanket is instantly matched to a somatic prediction that simultaneously identifies the infant's state and initiates the appropriate caregiving response.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