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Embodied</w:t>
      </w:r>
    </w:p>
    <w:p>
      <w:r>
        <w:t>Learning Objectives</w:t>
      </w:r>
    </w:p>
    <w:p>
      <w:r>
        <w:t>Define Agents within the context of Embodied.  Analyze how Agents interacts with other components of the Active Inference framework.  Apply specific constraints of Embodied to the formal definition of Agents.   Introduction</w:t>
      </w:r>
    </w:p>
    <w:p>
      <w:r>
        <w:t>This module explores Agents . In the Embodied curriculum, we approach this topic with a focus on specific applications and theoretical depth appropriate for the audience. Agents is a critical component of the 8-part Active Inference spine, bridging the gap between Systems and Perception.</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Embodied, we see Agents manifest in:</w:t>
        <w:br/>
        <w:t>* Specific Example 1 : A parkour practitioner approaching a wall sees it not as an obstacle but as an affordance -- a surface to vault, a ledge to grab, a launch point for a precision jump; her body-as-agent generates action possibilities directly from the visual array at her Markov blanket, perceiving the environment in terms of what her movement repertoire allows, which is the embodied agent's generative model specifying the world in relation to its own motor capabilities.</w:t>
        <w:br/>
        <w:t>* Specific Example 2 : When I navigate a crowded sidewalk, my body acts as an autonomous locomotor agent that automatically adjusts stride length, pace, and trajectory to weave through gaps between other pedestrians without conscious planning; this is the embodied agent's active inference loop operating in real time, where each predicted collision generates a prediction error at the Markov blanket that is immediately resolved through corrective stepping policies, all beneath the threshold of deliberate awareness.</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