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Embodied</w:t>
      </w:r>
    </w:p>
    <w:p>
      <w:r>
        <w:t>Learning Objectives</w:t>
      </w:r>
    </w:p>
    <w:p>
      <w:r>
        <w:t>Define Learning within the context of Embodied.  Analyze how Learning interacts with other components of the Active Inference framework.  Apply specific constraints of Embodied to the formal definition of Learning.   Introduction</w:t>
      </w:r>
    </w:p>
    <w:p>
      <w:r>
        <w:t>This module explores Learning . In the Embodied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Embodied, we see Learning manifest in:</w:t>
        <w:br/>
        <w:t>* Specific Example 1 : A child learning to ride a bicycle initially over-corrects every wobble, yanking the handlebars back and forth in large, jerky movements; over days of practice, the corrections become imperceptibly small and automatic as the generative model learns the precise mapping between vestibular tilt signals and the steering adjustments needed to maintain balance -- the transition from effortful wobbling to effortless gliding is the progressive reduction of sensorimotor prediction error through embodied learning.</w:t>
        <w:br/>
        <w:t>* Specific Example 2 : A ballet dancer spending years at the barre progressively refines her arabesque until the position feels natural rather than strained; this learning trajectory shows the generative model absorbing the biomechanics of the pose into its motor priors, so that what once required conscious attention to hip rotation, spinal extension, and ankle placement becomes a single integrated prediction that the body enacts as a unified movement gestalt -- the hallmark of skilled motor learning as free energy minimization in the movement domain.</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