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Robotics</w:t>
      </w:r>
    </w:p>
    <w:p>
      <w:r>
        <w:t>Learning Objectives</w:t>
      </w:r>
    </w:p>
    <w:p>
      <w:r>
        <w:t>Define Communication within the context of Robotics.  Analyze how Communication interacts with other components of the Active Inference framework.  Apply specific constraints of Robotics to the formal definition of Communication.   Introduction</w:t>
      </w:r>
    </w:p>
    <w:p>
      <w:r>
        <w:t>This module explores Communication . In the Robotics curriculum, we approach this topic with a focus on specific applications and theoretical depth appropriate for the audience. Communication is a critical component of the 8-part Active Inference spine, bridging the gap between Learning and Planning.</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Robotics, we see Communication manifest in:</w:t>
        <w:br/>
        <w:t>* Specific Example 1 : A distributed Kalman filter across a formation of three drones shares state estimate covariance matrices over a wireless mesh network, where each drone treats its neighbors' transmitted state estimates as additional measurement updates in its own filter; the communication bandwidth directly constrains the precision of shared information -- when packet loss increases, each drone's filter automatically downweights the missing neighbor's contribution (reducing that channel's precision), demonstrating how Active Inference's precision-weighting naturally handles unreliable communication channels in multi-robot estimation.</w:t>
        <w:br/>
        <w:t>* Specific Example 2 : A CAN-bus communication backbone on an industrial robot transmits joint encoder readings, motor current measurements, and torque commands between the central controller and distributed motor drives at 1 ms intervals; timing jitter and bus congestion introduce variable delays that the state estimator must account for by adjusting the prediction horizon of its generative model -- messages arriving late carry stale information with higher uncertainty, and the controller's communication protocol implicitly encodes this as reduced precision on delayed observations.</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