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The rostro-caudal gradient of the prefrontal cortex encodes:</w:t>
        <w:br/>
        <w:t>A) Emotional intensity from low to high</w:t>
        <w:br/>
        <w:t>B) Temporal abstraction — posterior regions for concrete plans, anterior regions for abstract long-term goals</w:t>
        <w:br/>
        <w:t>C) Motor complexity from simple to compound movements</w:t>
        <w:br/>
        <w:t>D) Sensory modalities from visual to auditory</w:t>
      </w:r>
    </w:p>
    <w:p>
      <w:r>
        <w:t>The basal ganglia's role in Active Inference is to:</w:t>
        <w:br/>
        <w:t>A) Store long-term memories</w:t>
        <w:br/>
        <w:t>B) Implement policy selection through direct (facilitation) and indirect (suppression) pathways</w:t>
        <w:br/>
        <w:t>C) Generate prediction errors for sensory stimuli</w:t>
        <w:br/>
        <w:t>D) Produce cerebrospinal fluid</w:t>
      </w:r>
    </w:p>
    <w:p>
      <w:r>
        <w:t>Dopamine in the context of planning primarily modulates:</w:t>
        <w:br/>
        <w:t>A) Sensory acuity</w:t>
        <w:br/>
        <w:t>B) The precision of policy selection — how decisively the brain commits to a particular action plan</w:t>
        <w:br/>
        <w:t>C) Body temperature</w:t>
        <w:br/>
        <w:t>D) Language production speed</w:t>
      </w:r>
    </w:p>
    <w:p>
      <w:r>
        <w:t>"Utilization behavior" in frontal lobe patients demonstrates:</w:t>
        <w:br/>
        <w:t>A) Preserved intellectual function</w:t>
        <w:br/>
        <w:t>B) Loss of hierarchical policy evaluation — objects are used automatically without contextual planning</w:t>
        <w:br/>
        <w:t>C) Enhanced motor control</w:t>
        <w:br/>
        <w:t>D) Improved creativity</w:t>
      </w:r>
    </w:p>
    <w:p>
      <w:r>
        <w:t>In Active Inference, temporal discounting (preferring $10 now over $20 later) reflects:</w:t>
        <w:br/>
        <w:t>A) Rational economic optimization</w:t>
        <w:br/>
        <w:t>B) Low precision on long-horizon policies — the generative model's planning depth is truncated</w:t>
        <w:br/>
        <w:t>C) Superior mathematical reasoning</w:t>
        <w:br/>
        <w:t>D) Cultural values about immediacy</w:t>
      </w:r>
    </w:p>
    <w:p>
      <w:r>
        <w:t>Depression-related behavioral paralysis occurs when:</w:t>
        <w:br/>
        <w:t>A) The brain generates no predictions at all</w:t>
        <w:br/>
        <w:t>B) High precision on negative outcome predictions causes all policies to appear equally futile</w:t>
        <w:br/>
        <w:t>C) The motor cortex is damaged</w:t>
        <w:br/>
        <w:t>D) The patient lacks knowledge of available options</w:t>
      </w:r>
    </w:p>
    <w:p>
      <w:r>
        <w:t>Addiction progressively narrows the policy space because:</w:t>
        <w:br/>
        <w:t>A) Drug use damages all prefrontal neurons</w:t>
        <w:br/>
        <w:t>B) Dopaminergic sensitization increases precision on drug-seeking policies relative to alternatives</w:t>
        <w:br/>
        <w:t>C) The patient forgets about other options</w:t>
        <w:br/>
        <w:t>D) Social pressure eliminates alternative behaviors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