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Embodied</w:t>
      </w:r>
    </w:p>
    <w:p>
      <w:r>
        <w:t>Learning Objectives</w:t>
      </w:r>
    </w:p>
    <w:p>
      <w:r>
        <w:t>Define Systems within the context of Embodied.  Analyze how Systems interacts with other components of the Active Inference framework.  Apply specific constraints of Embodied to the formal definition of Systems.   Introduction</w:t>
      </w:r>
    </w:p>
    <w:p>
      <w:r>
        <w:t>This module explores Systems . In the Embodied curriculum, we approach this topic with a focus on specific applications and theoretical depth appropriate for the audience. Systems is a critical component of the 8-part Active Inference spine, bridging the gap between Planning and Agents.</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Embodied, we see Systems manifest in:</w:t>
        <w:br/>
        <w:t>* Specific Example 1 : When I run along a rocky trail, my musculoskeletal, vestibular, and visual systems operate as a tightly coupled locomotor system -- each footfall sends proprioceptive signals upward while the vestibular apparatus predicts the next head position and the visual system scans for obstacles ahead; this whole-body movement system maintains its Markov blanket dynamically, continuously minimizing the free energy of postural instability by coordinating dozens of joints within milliseconds.</w:t>
        <w:br/>
        <w:t>* Specific Example 2 : A dancer performing a complex choreography functions as an integrated neuro-musculo-skeletal system where respiratory rhythm, spinal undulation, limb trajectory, and spatial orientation are all coupled through shared generative model predictions; the experience of being "in the flow" of movement is the subjective signature of systemic free energy minimization -- the entire body-as-system operating in a regime of minimal prediction error across all sensorimotor channels simultaneously.</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