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High School</w:t>
      </w:r>
    </w:p>
    <w:p>
      <w:r>
        <w:t>Learning Objectives</w:t>
      </w:r>
    </w:p>
    <w:p>
      <w:r>
        <w:t>Define Communication within the context of High School.  Analyze how Communication interacts with other components of the Active Inference framework.  Apply specific constraints of High School to the formal definition of Communication.   Introduction</w:t>
      </w:r>
    </w:p>
    <w:p>
      <w:r>
        <w:t>This module explores Communication . In the High School curriculum, we approach this topic with a focus on specific applications and theoretical depth appropriate for the audience. Communication is a critical component of the 8-part Active Inference spine, bridging the gap between Learning and Planning.</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High School, we see Communication manifest in:</w:t>
        <w:br/>
        <w:t>* Specific Example 1 : Shannon's information theory provides the mathematical foundation for communication in Active Inference: the information content of a message is I = -log(p), meaning rare (surprising) messages carry more information than expected ones -- this is why "School is cancelled due to snow" (low probability, high surprise) is a more informative communication than "School starts at 8 AM" (high probability, low surprise), and quantifies exactly how much a message updates the receiver's generative model.</w:t>
        <w:br/>
        <w:t>* Specific Example 2 : Error-correcting codes like Hamming codes demonstrate mathematical communication through redundancy: by adding parity check bits to a binary message, the receiver can detect and correct single-bit errors -- mathematically, the code embeds the message in a higher-dimensional space where prediction errors (corrupted bits) can be identified and fixed, ensuring the received signal matches the sender's intended generative model.</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