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High School</w:t>
      </w:r>
    </w:p>
    <w:p>
      <w:r>
        <w:t>Learning Objectives</w:t>
      </w:r>
    </w:p>
    <w:p>
      <w:r>
        <w:t>Define Action within the context of High School.  Analyze how Action interacts with other components of the Active Inference framework.  Apply specific constraints of High School to the formal definition of Action.   Introduction</w:t>
      </w:r>
    </w:p>
    <w:p>
      <w:r>
        <w:t>This module explores Action . In the High School curriculum, we approach this topic with a focus on specific applications and theoretical depth appropriate for the audience. Action is a critical component of the 8-part Active Inference spine, bridging the gap between Cognition and Learning.</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High School, we see Action manifest in:</w:t>
        <w:br/>
        <w:t>* Specific Example 1 : A robot vacuum like Roomba performs Active Inference action: it predicts clear floor space using its bump sensors and infrared cliff detectors, and when it hits an unexpected obstacle (prediction error), it immediately changes direction -- its action policy is to follow the path that minimizes the expected surprise of collisions, gradually building a map of the room through accumulated prediction errors.</w:t>
        <w:br/>
        <w:t>* Specific Example 2 : Autocorrect on your phone is an action system driven by Active Inference: the keyboard predicts what word you intend to type based on a language model and your typing patterns, and when the prediction error between your actual keystrokes and the predicted word exceeds a threshold, it takes the action of substituting the most probable correction -- which is why it sometimes "corrects" unusual words you actually intended to type.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