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Systems in Metallurgical Systems</w:t>
      </w:r>
    </w:p>
    <w:p>
      <w:r>
        <w:t>Objectives</w:t>
      </w:r>
    </w:p>
    <w:p>
      <w:r>
        <w:t>Learning Goal: Apply the Active Inference concept of systems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Systems Analysis (25 min)</w:t>
      </w:r>
    </w:p>
    <w:p>
      <w:r>
        <w:t>2A: Identify the Active Inference Components</w:t>
      </w:r>
    </w:p>
    <w:p>
      <w:r>
        <w:t>Map your chosen system onto the Active Inference framework in the context of systems:</w:t>
      </w:r>
    </w:p>
    <w:p>
      <w:r>
        <w:t>Component  Your System      System boundary (Markov blanket)     Internal states     External states     Sensory states     Active states      Write your response here  2B: Systems Dynamics</w:t>
      </w:r>
    </w:p>
    <w:p>
      <w:r>
        <w:t>Describe how systems-level organization operates in your selected alloy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crystallographic structures in your selected alloy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crystallographic organization in this alloy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