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Middle School</w:t>
      </w:r>
    </w:p>
    <w:p>
      <w:r>
        <w:t>Learning Objectives</w:t>
      </w:r>
    </w:p>
    <w:p>
      <w:r>
        <w:t>Define Planning within the context of Middle School.  Analyze how Planning interacts with other components of the Active Inference framework.  Apply specific constraints of Middle School to the formal definition of Planning.   Introduction</w:t>
      </w:r>
    </w:p>
    <w:p>
      <w:r>
        <w:t>This module explores Planning . In the Middle School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Middle School, we see Planning manifest in:</w:t>
        <w:br/>
        <w:t>* Specific Example 1 : Before writing a single line of code for a game, experienced programmers plan by sketching out the major pieces -- player movement, scoring, enemies, levels -- and how they connect. This is like your brain simulating the finished project in advance, predicting where the tricky parts will be, and deciding what to build first. Without that plan, you end up rewriting the same code three times because the pieces do not fit together.</w:t>
        <w:br/>
        <w:t>* Specific Example 2 : A GPS navigation app does planning in real time. It builds a model of every possible route from your location to the destination, predicts how long each will take based on traffic data, and selects the path with the lowest predicted travel time. When it detects unexpected traffic (a prediction error), it re-plans by simulating alternative routes and switching you to a better one -- that is active inference planning running on a computer.</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