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Digital Transformation — Module 02: Agents</w:t>
      </w:r>
    </w:p>
    <w:p>
      <w:r>
        <w:t>Name : _ _ _  Date : _ _ _</w:t>
      </w:r>
    </w:p>
    <w:p>
      <w:r>
        <w:t>Part A: Multiple Choice</w:t>
      </w:r>
    </w:p>
    <w:p>
      <w:r>
        <w:t>The delegation of inference to AI systems is best guided by: A) Cost B) Matching task characteristics (volume, complexity, ambiguity) to agent strengths (human judgment vs. AI speed) C) Technology availability D) Employee resistance  Human-AI teams outperform either alone because: A) They're more expensive B) They combine complementary strengths — AI handles volume/consistency, humans handle judgment/novelty C) They're bigger D) AI is always better  AI systems fail differently from humans by: A) Failing less often B) Failing catastrophically on edge cases and distribution shifts rather than gradually through fatigue/bias C) Not failing at all D) Failing more often  Automation anxiety is best addressed by: A) Ignoring it B) Transparently communicating how AI augments rather than replaces human roles, and investing in reskilling C) Replacing everyone quickly D) Avoiding AI entirely  An AI collaborator differs from an AI tool by: A) Being more expensive B) Sharing the inference task rather than just being directed by the human C) Being autonomous D) Being simpler  Effective human-AI collaboration requires humans to: A) Trust AI completely B) Understand AI capabilities, limitations, and failure modes to effectively oversee and complement it C) Ignore AI recommendations D) Let AI make all decisions  When deploying AI agents, the most underestimated challenge is: A) Cost B) The organizational change required — new roles, processes, skills, and culture C) Technical complexity D) Vendor selection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