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Digital Transformation — Module 08: Planning</w:t>
      </w:r>
    </w:p>
    <w:p>
      <w:r>
        <w:t>Name : _ _ _  Date : _ _ _</w:t>
      </w:r>
    </w:p>
    <w:p>
      <w:r>
        <w:t>Part A: Multiple Choice</w:t>
      </w:r>
    </w:p>
    <w:p>
      <w:r>
        <w:t>GE Digital's $4B+ failure illustrates: A) Bad technology B) The transformation paradox — moving faster than the organization's capacity to learn and absorb change C) Poor strategy D) Market failure  Kotter's 8-step model begins with: A) Hiring consultants B) Creating urgency — establishing why transformation is needed now C) Buying technology D) Reorganizing  The Three Horizons framework helps by: A) Planning three years ahead B) Structuring digital investments across current business (H1), emerging (H2), and future options (H3) simultaneously C) Creating three plans D) Hiring three teams  "Quick wins" in digital transformation are valuable because: A) They save money B) They build credibility, generate learning, and create organizational momentum for larger changes C) They're easy D) Executives like them  The "frozen middle" resists transformation because: A) They're incompetent B) Middle managers' expertise and authority are most threatened by digital change, and they haven't been included in the vision C) They're old-fashioned D) They don't understand technology  Digital transformation sequencing should prioritize: A) The most visible technology B) Building infrastructure and capability before scaling — data platforms before advanced analytics C) Everything at once D) The cheapest projects  Most digital transformations fail because: A) Bad technology B) Insufficient attention to organizational change — culture, skills, processes, and leadership alignment C) Market conditions D) Lack of budget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