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Agent Design Patterns</w:t>
      </w:r>
    </w:p>
    <w:p>
      <w:r>
        <w:t>Objective</w:t>
      </w:r>
    </w:p>
    <w:p>
      <w:r>
        <w:t>Compare autonomous agent architectures (behavior trees, finite state machines, subsumption architecture) with Active Inference agent design. You will implement each architecture for a warehouse robot task and evaluate their autonomy, adaptability, and failure recovery.</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agents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agents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agents pipeline.  Specify simulation-based testing scenarios.  Define metrics for evaluating autonomous agents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