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Clinical Translation and Computational Psychiatry</w:t>
      </w:r>
    </w:p>
    <w:p>
      <w:r>
        <w:t>Course : Active Inference 401 | Unit : Research Methods | Audience : Graduate students / researchers</w:t>
      </w:r>
    </w:p>
    <w:p>
      <w:r>
        <w:t>Learning Objectives</w:t>
      </w:r>
    </w:p>
    <w:p>
      <w:r>
        <w:t>Apply Active Inference to computational psychiatry — using generative models to understand mental illness.  Analyze clinical disorders through the lens of aberrant precision, prediction errors, and model structure .  Evaluate the translational pipeline from computational models to clinical interventions.   Key Concepts</w:t>
      </w:r>
    </w:p>
    <w:p>
      <w:r>
        <w:t>1. Computational Psychiatry Framework</w:t>
      </w:r>
    </w:p>
    <w:p>
      <w:r>
        <w:t>Computational psychiatry uses mathematical models to bridge the gap between brain mechanisms and psychiatric symptoms:</w:t>
      </w:r>
    </w:p>
    <w:p>
      <w:r>
        <w:t>The promise : Instead of categorizing patients by descriptive symptoms (DSM), characterize them by computational dysfunction — which specific inference process is impaired.</w:t>
      </w:r>
    </w:p>
    <w:p>
      <w:r>
        <w:t>Active Inference account : Mental disorders arise from dysfunction in specific components of the generative model or its inversion:</w:t>
      </w:r>
    </w:p>
    <w:p>
      <w:r>
        <w:t>Aberrant precision : Over- or under-weighting prediction errors  Dysfunctional model structure : Incorrect or absent connections in the generative model  Maladaptive preferences : Pathological prior preferences (C vector)  Impaired model updating : Inability to update beliefs despite contradicting evidence   2. Disorder-Specific Models</w:t>
      </w:r>
    </w:p>
    <w:p>
      <w:r>
        <w:t>Schizophrenia : Characterized by aberrant sensory precision — over-weighting sensory prediction errors relative to prior beliefs:</w:t>
      </w:r>
    </w:p>
    <w:p>
      <w:r>
        <w:t>Hallucinations: Overly precise sensory priors generate percepts without external stimulation  Delusions: Aberrant precision on certain belief channels makes them resistant to updating  Computational biomarker: Abnormal precision parameters recovered from behavioral tasks   Depression : Characterized by pessimistic priors and reduced precision on positive prediction errors:</w:t>
      </w:r>
    </w:p>
    <w:p>
      <w:r>
        <w:t>Negative bias: Generative model expects negative outcomes (pathological C vector)  Anhedonia: Reduced precision on reward prediction errors → failure to learn from positive outcomes  Rumination: Deep temporal model with strong negative predictions generates persistent negative counterfactuals   Anxiety : Characterized by elevated precision on threat-related prediction errors:</w:t>
      </w:r>
    </w:p>
    <w:p>
      <w:r>
        <w:t>Hypervigilance: Over-precise threat PE detection → excessive response to ambiguous stimuli  Intolerance of uncertainty: Pathologically high expected precision → compulsive information seeking  Avoidance: Actions selected to minimize exposure to high-precision threat PEs   Autism : Characterized by altered precision hierarchy:</w:t>
      </w:r>
    </w:p>
    <w:p>
      <w:r>
        <w:t>Sensory overload: High sensory precision (over-weighted PEs) → difficulty with noisy environments  Predictability preference: Strong priors → distress when routines are disrupted  Social inference: Reduced precision on social prediction errors → difficulty with Theory of Mind   3. Translational Pipeline</w:t>
      </w:r>
    </w:p>
    <w:p>
      <w:r>
        <w:t>Step 1: Computational theory — Formalize the disorder as dysfunction in a specific computational variable Step 2: Behavioral validation — Show that patients differ from controls on the predicted computational parameter (using tasks from Module 04) Step 3: Neural validation — Show that the computational difference maps onto neural differences (using methods from Modules 01, 03) Step 4: Pharmacological validation — Show that drugs known to affect the disorder change the predicted computational variable (dopamine for precision, serotonin for prior beliefs) Step 5: Treatment development — Design interventions targeting the specific computational dysfunction</w:t>
      </w:r>
    </w:p>
    <w:p>
      <w:r>
        <w:t>4. Clinical Trial Design for Computational Psychiatry</w:t>
      </w:r>
    </w:p>
    <w:p>
      <w:r>
        <w:t>Enrichment strategies : Use computational phenotyping to select patients most likely to respond to a treatment targeting a specific computational variable.</w:t>
      </w:r>
    </w:p>
    <w:p>
      <w:r>
        <w:t>Bayesian adaptive trials : Use Active Inference principles in trial design itself — adaptively allocate patients to treatment arms based on accumulating evidence, minimizing the number of patients needed.</w:t>
      </w:r>
    </w:p>
    <w:p>
      <w:r>
        <w:t>Digital phenotyping : Collect computational parameters longitudinally using smartphone-based tasks and wearable sensors. Track precision, learning rate, and volatility estimates in real-time to predict relapse.</w:t>
      </w:r>
    </w:p>
    <w:p>
      <w:r>
        <w:t>5. Ethical Considerations</w:t>
      </w:r>
    </w:p>
    <w:p>
      <w:r>
        <w:t>Computing on mental states raises ethical concerns: privacy of computational phenotypes, risk of computational discrimination, informed consent for model-based classification, and the danger of reducing complex human experience to a few parameters.</w:t>
      </w:r>
    </w:p>
    <w:p>
      <w:r>
        <w:t>Summary</w:t>
      </w:r>
    </w:p>
    <w:p>
      <w:r>
        <w:t>Computational psychiatry uses Active Inference to model mental disorders as dysfunction in specific inference variables — precision, model structure, preferences, and updating. Disorder-specific models have been proposed for schizophrenia, depression, anxiety, and autism. The translational pipeline moves from theory through behavioral, neural, and pharmacological validation to intervention design.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