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Multiple Choice</w:t>
      </w:r>
    </w:p>
    <w:p>
      <w:r>
        <w:t>In the predictive coding architecture, top-down predictions are sent by:</w:t>
        <w:br/>
        <w:t>A) Superficial pyramidal cells in layers 2/3</w:t>
        <w:br/>
        <w:t>B) Deep pyramidal cells in layers 5/6</w:t>
        <w:br/>
        <w:t>C) Inhibitory interneurons in layer 1</w:t>
        <w:br/>
        <w:t>D) Granular cells in layer 4</w:t>
      </w:r>
    </w:p>
    <w:p>
      <w:r>
        <w:t>Sensory attenuation refers to:</w:t>
        <w:br/>
        <w:t>A) The gradual loss of hearing with age</w:t>
        <w:br/>
        <w:t>B) Reduced perception of self-generated stimuli due to efference copy-based prediction</w:t>
        <w:br/>
        <w:t>C) The brain's inability to process two sensory modalities simultaneously</w:t>
        <w:br/>
        <w:t>D) A form of amnesia affecting sensory memories</w:t>
      </w:r>
    </w:p>
    <w:p>
      <w:r>
        <w:t>The inability to tickle yourself is evidence for:</w:t>
        <w:br/>
        <w:t>A) The separation of motor and sensory systems</w:t>
        <w:br/>
        <w:t>B) Active Inference — the brain predicts and cancels expected sensory consequences of its own actions</w:t>
        <w:br/>
        <w:t>C) The superiority of touch over other senses</w:t>
        <w:br/>
        <w:t>D) Social bonding mechanisms</w:t>
      </w:r>
    </w:p>
    <w:p>
      <w:r>
        <w:t>Hallucinations in the Active Inference framework arise from:</w:t>
        <w:br/>
        <w:t>A) Damage to the retina or cochlea</w:t>
        <w:br/>
        <w:t>B) High-precision top-down predictions that override or substitute for bottom-up sensory evidence</w:t>
        <w:br/>
        <w:t>C) Complete absence of neural activity in sensory cortex</w:t>
        <w:br/>
        <w:t>D) Excessive attention to environmental stimuli</w:t>
      </w:r>
    </w:p>
    <w:p>
      <w:r>
        <w:t>Mismatch negativity (MMN) is considered a neural signature of:</w:t>
        <w:br/>
        <w:t>A) Motor planning</w:t>
        <w:br/>
        <w:t>B) Prediction error in response to violations of expected auditory patterns</w:t>
        <w:br/>
        <w:t>C) Emotional processing of surprising events</w:t>
        <w:br/>
        <w:t>D) Memory retrieval</w:t>
      </w:r>
    </w:p>
    <w:p>
      <w:r>
        <w:t>Charles Bonnet syndrome hallucinations occur because:</w:t>
        <w:br/>
        <w:t>A) The patient has a psychiatric disorder</w:t>
        <w:br/>
        <w:t>B) Reduced sensory input (visual loss) allows top-down predictions to dominate without bottom-up constraint</w:t>
        <w:br/>
        <w:t>C) The visual cortex is damaged</w:t>
        <w:br/>
        <w:t>D) The patient is imagining visual experiences intentionally</w:t>
      </w:r>
    </w:p>
    <w:p>
      <w:r>
        <w:t>Failed sensory attenuation in schizophrenia may lead to auditory hallucinations because:</w:t>
        <w:br/>
        <w:t>A) Inner speech is not predicted as self-generated and is therefore experienced as coming from an external source</w:t>
        <w:br/>
        <w:t>B) The auditory cortex is over-developed</w:t>
        <w:br/>
        <w:t>C) The patient has hearing loss</w:t>
        <w:br/>
        <w:t>D) Social isolation reduces the need for inner speech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