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Урок 1 Импорт из ЕАЭС в 1С</w:t>
      </w:r>
    </w:p>
    <w:p>
      <w:r>
        <w:t>Сценарий записи экрана и объяснения законодательства. Плановая продолжительность 10–14 минут. Голос Лили, обычная скорость; действия на экране 1,1. Ключевые действия и полученные проводки показываются в реальной учебной базе, а не подменяются итоговыми слайдами.</w:t>
      </w:r>
    </w:p>
    <w:p>
      <w:pPr>
        <w:pStyle w:val="Heading1"/>
      </w:pPr>
      <w:r>
        <w:t>Учебная ситуация</w:t>
      </w:r>
    </w:p>
    <w:p>
      <w:r>
        <w:t>ООО «Альфа» приобретает у ТОО «КазахСтанМаш» два компрессора за 10 000 USD. Даты и курсы 90, 92 и 93 рубля взяты из исходного учебного примера; это условные данные, не подтвержденные архивом Банка России. Аванс 15 мая, учет товаров 8 июля 2026 года. Доставка от ООО «Магистраль-Логистика» 10 июля — 30 000 рублей без НДС. Для основной демонстрации явно принимается отдельный договор доставки: она не включена в цену импортируемых товаров. Это учебное допущение, а не установленное условие исходного контракта.</w:t>
      </w:r>
    </w:p>
    <w:p>
      <w:pPr>
        <w:pStyle w:val="Heading1"/>
      </w:pPr>
      <w:r>
        <w:t>Проверка готовности</w:t>
      </w:r>
    </w:p>
    <w:p>
      <w:r>
        <w:t>Перед записью подтвердить учебную копию, фактический релиз, организацию, доступные валютные счета и импортную функциональность. В исходно указанном релизе 3.0.197.22 нельзя обещать функции более поздних версий. ДОПП через документ учетной системы описан фирмой 1С с 3.0.198.19; новая последовательность учета СПОТ — с 3.0.203.24. Если функциональности нет, записать доступные части и явно обозначить недоступный блок; это не считается полным уроком. Базу самостоятельно не обновлять.</w:t>
      </w:r>
    </w:p>
    <w:p>
      <w:pPr>
        <w:pStyle w:val="Heading1"/>
      </w:pPr>
      <w:r>
        <w:t>Последовательность записи</w:t>
      </w:r>
    </w:p>
    <w:p>
      <w:pPr>
        <w:pStyle w:val="Heading2"/>
      </w:pPr>
      <w:r>
        <w:t>1 Вступление и данные примера</w:t>
      </w:r>
    </w:p>
    <w:p>
      <w:pPr>
        <w:keepNext/>
      </w:pPr>
      <w:r>
        <w:t>На экране. Открыть 1С и раздел покупок. Показать отдельную краткую карточку условий без банковских секретов.</w:t>
      </w:r>
    </w:p>
    <w:p>
      <w:pPr>
        <w:keepNext/>
      </w:pPr>
      <w:r>
        <w:t>Озвучка. В этом видео разберём импорт из Казахстана в один эс Бухгалтерии. Оформим аванс, поступление двух компрессоров и доставку. Затем рассчитаем ввозной НДС и разберём документы СПОТ. На каждом шаге объясню, почему мы заполняем именно так. Начнём с договора поставщика.</w:t>
      </w:r>
    </w:p>
    <w:p>
      <w:r>
        <w:t>Контроль. Вступление предшествует вводу; не показывать готовый документ вместо процесса.</w:t>
      </w:r>
    </w:p>
    <w:p>
      <w:pPr>
        <w:pStyle w:val="Heading2"/>
      </w:pPr>
      <w:r>
        <w:t>2 Договор и валюта расчетов</w:t>
      </w:r>
    </w:p>
    <w:p>
      <w:pPr>
        <w:keepNext/>
      </w:pPr>
      <w:r>
        <w:t>На экране. Открыть карточку иностранного поставщика и договор с поставщиком. Проверить страну Казахстан, валюту USD и счета расчетов. Показать включенную импортную функциональность, если она уже настроена.</w:t>
      </w:r>
    </w:p>
    <w:p>
      <w:pPr>
        <w:keepNext/>
      </w:pPr>
      <w:r>
        <w:t>Озвучка. Сначала проверим договор. Поставщик из Казахстана, расчёты в долларах. Для НДС при ввозе важна страна и дата принятия товаров к учёту.</w:t>
      </w:r>
    </w:p>
    <w:p>
      <w:r>
        <w:t>Контроль. Поставщик и договор однозначно определены; учебные курсы не выдаются за фактические курсы ЦБ.</w:t>
      </w:r>
    </w:p>
    <w:p>
      <w:pPr>
        <w:pStyle w:val="Heading2"/>
      </w:pPr>
      <w:r>
        <w:t>3 Аванс и банковская комиссия</w:t>
      </w:r>
    </w:p>
    <w:p>
      <w:pPr>
        <w:keepNext/>
      </w:pPr>
      <w:r>
        <w:t>На экране. В банковских документах создать учебное списание 15.05.2026 с видом оплаты поставщику, суммой 10 000 USD и полным авансом. Отдельно показать документ комиссии 3 000 рублей. Открыть движения.</w:t>
      </w:r>
    </w:p>
    <w:p>
      <w:pPr>
        <w:keepNext/>
      </w:pPr>
      <w:r>
        <w:t>Озвучка. Мы перечислили стопроцентный аванс. Его рублёвая сумма в нашем примере — девятьсот тысяч. При поступлении оплаченная часть стоимости не переоценивается по июльскому курсу. Комиссию банка учитываем отдельно.</w:t>
      </w:r>
    </w:p>
    <w:p>
      <w:r>
        <w:t>Контроль. Проверить фактические движения, как правило 60.22/52 для аванса и 91.02/51 для рублёвой комиссии. Не использовать выдуманный субсчет 52.02, если его нет в плане счетов.</w:t>
      </w:r>
    </w:p>
    <w:p>
      <w:pPr>
        <w:pStyle w:val="Heading2"/>
      </w:pPr>
      <w:r>
        <w:t>4 Подготовка ДОПП</w:t>
      </w:r>
    </w:p>
    <w:p>
      <w:pPr>
        <w:keepNext/>
      </w:pPr>
      <w:r>
        <w:t>На экране. Если релиз поддерживает документ, открыть Покупки — Внешняя торговля — Документы о предстоящей поставке товаров. Создать новый ДОПП; показать контракт, плановую дату, страну, товар, перевозчика, код ТН ВЭД и сведения о транспорте по реальным полям формы. Не придумывать ИНН, номера автомобиля или коды классификатора.</w:t>
      </w:r>
    </w:p>
    <w:p>
      <w:pPr>
        <w:keepNext/>
      </w:pPr>
      <w:r>
        <w:t>Озвучка. СПОТ проверяет автомобильную поставку до ввоза. Для поставки с обеспечительным платежом документы готовят заблаговременно. Ожидаемую сумму налога рассчитывают по правилам СПОТ, а не по курсу аванса поставщику.</w:t>
      </w:r>
    </w:p>
    <w:p>
      <w:r>
        <w:t>Контроль. Маршрут и названия элементов подтвердить в интерфейсе. Отсутствие данных явно отметить; не нажимать Отправить в ФНС.</w:t>
      </w:r>
    </w:p>
    <w:p>
      <w:pPr>
        <w:pStyle w:val="Heading2"/>
      </w:pPr>
      <w:r>
        <w:t>5 Обеспечительный платеж</w:t>
      </w:r>
    </w:p>
    <w:p>
      <w:pPr>
        <w:keepNext/>
      </w:pPr>
      <w:r>
        <w:t>На экране. Показать расчет ДОПП и подготовку платежного поручения на специальный КБК 18210403000011000110. Не отправлять платеж в банк. Состояние ДОПП демонстрировать только фактически полученное.</w:t>
      </w:r>
    </w:p>
    <w:p>
      <w:pPr>
        <w:keepNext/>
      </w:pPr>
      <w:r>
        <w:t>Озвучка. Обеспечительный платёж перечисляют отдельно от ЕНП. Для валютного договора берут курс, действующий на день перед регистрацией ДОПП. Сумма двести две тысячи четыреста рублей из исходника здесь лишь условная: она подходит только после проверки даты и курса.</w:t>
      </w:r>
    </w:p>
    <w:p>
      <w:r>
        <w:t>Контроль. Не подменять подтверждение ФНС ручным статусом. Настоящий QR-код без ответа ФНС не показывать как полученный; при необходимости обозначить, что в учебной записи отправки нет.</w:t>
      </w:r>
    </w:p>
    <w:p>
      <w:pPr>
        <w:pStyle w:val="Heading2"/>
      </w:pPr>
      <w:r>
        <w:t>6 Поступление двух компрессоров</w:t>
      </w:r>
    </w:p>
    <w:p>
      <w:pPr>
        <w:keepNext/>
      </w:pPr>
      <w:r>
        <w:t>На экране. Создать поступление товаров от 08.07.2026: иностранный поставщик, договор USD, два компрессора по 5 000 USD, 100-процентный зачет аванса. Для ЕАЭС не оформлять российский счет-фактуру поставщика. Провести и открыть движения.</w:t>
      </w:r>
    </w:p>
    <w:p>
      <w:pPr>
        <w:keepNext/>
      </w:pPr>
      <w:r>
        <w:t>Озвучка. Теперь принимаем компрессоры к учёту. Из-за полного аванса их стоимость в бухгалтерском учёте сохраняется по курсу аванса: девятьсот тысяч рублей. Ввозной НДС мы начислим отдельным заявлением.</w:t>
      </w:r>
    </w:p>
    <w:p>
      <w:r>
        <w:t>Контроль. Ожидаются 41.01/60.21 и отдельный зачет 60.21/60.22; показать фактические суммы 1С. Прямую запись 41.01/60.22 из исходника не выдавать за стандартное движение документа.</w:t>
      </w:r>
    </w:p>
    <w:p>
      <w:pPr>
        <w:pStyle w:val="Heading2"/>
      </w:pPr>
      <w:r>
        <w:t>7 Доставка и себестоимость</w:t>
      </w:r>
    </w:p>
    <w:p>
      <w:pPr>
        <w:keepNext/>
      </w:pPr>
      <w:r>
        <w:t>На экране. На основании поступления создать Поступление доп. расходов от 10.07.2026, перевозчик ООО «Магистраль-Логистика», 30 000 рублей без НДС; распределить на оба компрессора. Открыть движения.</w:t>
      </w:r>
    </w:p>
    <w:p>
      <w:pPr>
        <w:keepNext/>
      </w:pPr>
      <w:r>
        <w:t>Озвучка. Доставка увеличивает себестоимость товаров. Но включение затрат в бухгалтерскую стоимость ещё не означает увеличение базы ввозного НДС. В нашем учебном варианте доставка оформлена отдельно от цены импортируемых товаров.</w:t>
      </w:r>
    </w:p>
    <w:p>
      <w:r>
        <w:t>Контроль. Себестоимость партии — 930 000 рублей: 900 000 товар плюс 30 000 доставка. Это не та же формула, что налоговая база.</w:t>
      </w:r>
    </w:p>
    <w:p>
      <w:pPr>
        <w:pStyle w:val="Heading2"/>
      </w:pPr>
      <w:r>
        <w:t>8 Заявление о ввозе и налоговая база</w:t>
      </w:r>
    </w:p>
    <w:p>
      <w:pPr>
        <w:keepNext/>
      </w:pPr>
      <w:r>
        <w:t>На экране. На основании поступления создать заявление о ввозе товаров. Показать валютную стоимость 10 000 USD, дату учета 08.07.2026 и учебный курс 93, ставку 22%. При отдельной доставке не добавлять ее в базу НДС. Сверить расчет и движения.</w:t>
      </w:r>
    </w:p>
    <w:p>
      <w:pPr>
        <w:keepNext/>
      </w:pPr>
      <w:r>
        <w:t>Озвучка. Для ввозного НДС стоимость в долларах пересчитывается на дату принятия к учёту. Десять тысяч умножаем на девяносто три: база девятьсот тридцать тысяч. Отдельную доставку в неё не включаем. НДС — двести четыре тысячи шестьсот рублей.</w:t>
      </w:r>
    </w:p>
    <w:p>
      <w:r>
        <w:t>Контроль. Ожидается 19.10/68.42 на 204 600 рублей. Альтернативная база 960 000 и НДС 211 200 допустимы только при документально подтвержденном включении доставки в цену; не представлять этот вариант установленным.</w:t>
      </w:r>
    </w:p>
    <w:p>
      <w:pPr>
        <w:pStyle w:val="Heading2"/>
      </w:pPr>
      <w:r>
        <w:t>9 Учет обеспечительного платежа</w:t>
      </w:r>
    </w:p>
    <w:p>
      <w:pPr>
        <w:keepNext/>
      </w:pPr>
      <w:r>
        <w:t>На экране. На поддерживаемом релизе показать связь ДОПП, поступления, заявления и зачет ОП. Если платеж 202 400 подтвержден условиями учебного примера, сопоставить его с НДС 204 600.</w:t>
      </w:r>
    </w:p>
    <w:p>
      <w:pPr>
        <w:keepNext/>
      </w:pPr>
      <w:r>
        <w:t>Озвучка. Если подтвержденный обеспечительный платёж составил двести две тысячи четыреста рублей, разница в нашем варианте — две тысячи двести. Восемь тысяч восемьсот из исходного сценария нельзя считать готовым ответом без проверки базы.</w:t>
      </w:r>
    </w:p>
    <w:p>
      <w:r>
        <w:t>Контроль. Не создавать счет 76.СПОТ вручную ради сходства со сценарием. Показывать реальные счета и алгоритм установленного релиза; сумму зачета не больше суммы фактического платежа.</w:t>
      </w:r>
    </w:p>
    <w:p>
      <w:pPr>
        <w:pStyle w:val="Heading2"/>
      </w:pPr>
      <w:r>
        <w:t>10 Отчетность срок и итог</w:t>
      </w:r>
    </w:p>
    <w:p>
      <w:pPr>
        <w:keepNext/>
      </w:pPr>
      <w:r>
        <w:t>На экране. Открыть регламентированный отчет по косвенным налогам за июль и показать проверяемые показатели, если они доступны. Объяснить состав пакета; сохранить только локальный черновик. Вернуться к движениям и списку документов.</w:t>
      </w:r>
    </w:p>
    <w:p>
      <w:pPr>
        <w:keepNext/>
      </w:pPr>
      <w:r>
        <w:t>Озвучка. По июльской поставке срок уплаты ввозного НДС — не позднее двадцатого августа. Проверяем документы, сумму налога и зачёт платежа. В учебной базе мы подготовили документы; отправки в ФНС и реального перевода денег не было.</w:t>
      </w:r>
    </w:p>
    <w:p>
      <w:r>
        <w:t>Контроль. Итог должен показывать созданные документы, расчет и проводки; не изображать принятие отчетности или подтверждение вычета без реального основания.</w:t>
      </w:r>
    </w:p>
    <w:p>
      <w:pPr>
        <w:pStyle w:val="Heading1"/>
      </w:pPr>
      <w:r>
        <w:t>Правовые опоры</w:t>
      </w:r>
    </w:p>
    <w:p>
      <w:r>
        <w:t>Приложение № 18 к Договору о ЕАЭС: пункты 14, 19 и 20. Федеральный закон от 17.04.2026 № 101-ФЗ. Для СПОТ используются разъяснения ФНС и описание поддержки в 1С. Ссылки и дополнительные замечания вынесены в отдельный файл проверки; не все положения исходника исправлены, поскольку пользователь разрешил только две группы изменений.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