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Урок 3 Закрытие периода и отчетность в 1С</w:t>
      </w:r>
    </w:p>
    <w:p>
      <w:r>
        <w:t>Отдельный сценарий записи экрана продолжительностью 8–12 минут. Используются документы первых двух уроков. Не показывать произвольное заполнение сумм как результат автоматического расчета 1С. Контрольные показатели зависят от подтвержденных условий поставок и проведенных документов.</w:t>
      </w:r>
    </w:p>
    <w:p>
      <w:pPr>
        <w:pStyle w:val="Heading1"/>
      </w:pPr>
      <w:r>
        <w:t>Контрольные условия</w:t>
      </w:r>
    </w:p>
    <w:p>
      <w:r>
        <w:t>Для варианта ЕАЭС с отдельной доставкой: НДС 204 600 рублей и условная доплата 2 200 при подтвержденном ОП 202 400. Если подтверждена другая база, показатели меняются. Для урока 2 после отдельного уточнения таможенной базы предлагается налог 39 270 рублей вместо исходных 39 930. Суммы не считать установленными без первичных документов и проверки учета. Декларация по косвенным налогам месячная: июль не смешивать с отчетностью по НДС за II квартал.</w:t>
      </w:r>
    </w:p>
    <w:p>
      <w:pPr>
        <w:pStyle w:val="Heading2"/>
      </w:pPr>
      <w:r>
        <w:t>1 Вступление</w:t>
      </w:r>
    </w:p>
    <w:p>
      <w:pPr>
        <w:keepNext/>
      </w:pPr>
      <w:r>
        <w:t>На экране. Открыть раздел Отчеты и список документов учебной организации.</w:t>
      </w:r>
    </w:p>
    <w:p>
      <w:pPr>
        <w:keepNext/>
      </w:pPr>
      <w:r>
        <w:t>Озвучка. В этом видео проверим импортные документы перед отчётностью. Сверим налог, обеспечительный платёж и условия вычета, а затем посмотрим регистры налога на прибыль.</w:t>
      </w:r>
    </w:p>
    <w:p>
      <w:r>
        <w:t>Контроль. Сначала объявить результат урока и выбранные периоды.</w:t>
      </w:r>
    </w:p>
    <w:p>
      <w:pPr>
        <w:pStyle w:val="Heading2"/>
      </w:pPr>
      <w:r>
        <w:t>2 Проверка учета</w:t>
      </w:r>
    </w:p>
    <w:p>
      <w:pPr>
        <w:keepNext/>
      </w:pPr>
      <w:r>
        <w:t>На экране. Сформировать ОСВ по 19.05, 19.10, 68.42 и фактическим счетам СПОТ, расчетам и валюте. Раскрыть суммы до документов.</w:t>
      </w:r>
    </w:p>
    <w:p>
      <w:pPr>
        <w:keepNext/>
      </w:pPr>
      <w:r>
        <w:t>Озвучка. Сначала проверяем учёт. Нужна связь каждой суммы с документом, а не просто совпадение итогов в отчёте.</w:t>
      </w:r>
    </w:p>
    <w:p>
      <w:r>
        <w:t>Контроль. Суммы и остатки объяснимы документами уроков 1 и 2; ошибки не исправляются ручным заполнением отчетности.</w:t>
      </w:r>
    </w:p>
    <w:p>
      <w:pPr>
        <w:pStyle w:val="Heading2"/>
      </w:pPr>
      <w:r>
        <w:t>3 Вычеты и книга покупок</w:t>
      </w:r>
    </w:p>
    <w:p>
      <w:pPr>
        <w:keepNext/>
      </w:pPr>
      <w:r>
        <w:t>На экране. Открыть Помощник по учету НДС. Проверить факт уплаты, принятие товаров к учету и подтверждающие документы; сформировать книгу покупок только при выполнении условий.</w:t>
      </w:r>
    </w:p>
    <w:p>
      <w:pPr>
        <w:keepNext/>
      </w:pPr>
      <w:r>
        <w:t>Озвучка. Ввозной налог и право на вычет — разные этапы. Проверяем основания и подтверждение оплаты; только после этого показываем отражение в книге покупок.</w:t>
      </w:r>
    </w:p>
    <w:p>
      <w:r>
        <w:t>Контроль. Для ЕАЭС проверить заявление и подтверждение налогового органа; для Китая — таможенные документы и платежи. Не рисовать отметку ИФНС в учебной базе.</w:t>
      </w:r>
    </w:p>
    <w:p>
      <w:pPr>
        <w:pStyle w:val="Heading2"/>
      </w:pPr>
      <w:r>
        <w:t>4 Декларация по косвенным налогам</w:t>
      </w:r>
    </w:p>
    <w:p>
      <w:pPr>
        <w:keepNext/>
      </w:pPr>
      <w:r>
        <w:t>На экране. Создать регламентированный отчет за июль 2026 года. Показать редакцию формы и доступность раздела 4 в установленном релизе.</w:t>
      </w:r>
    </w:p>
    <w:p>
      <w:pPr>
        <w:keepNext/>
      </w:pPr>
      <w:r>
        <w:t>Озвучка. По разъяснению ФНС новая форма применяется начиная с июля, приказ вступает в силу тридцать первого июля. Срок уплаты по июльским товарам — не позднее двадцатого августа.</w:t>
      </w:r>
    </w:p>
    <w:p>
      <w:r>
        <w:t>Контроль. Дата 30 июля из исходника отдельно отмечена для дополнительного согласования; здесь не озвучивается как верная.</w:t>
      </w:r>
    </w:p>
    <w:p>
      <w:pPr>
        <w:pStyle w:val="Heading2"/>
      </w:pPr>
      <w:r>
        <w:t>5 Разделы 1 и 4</w:t>
      </w:r>
    </w:p>
    <w:p>
      <w:pPr>
        <w:keepNext/>
      </w:pPr>
      <w:r>
        <w:t>На экране. В доступной форме показать реквизиты ДОПП и суммы ОП, связь с исчисленным налогом. Сверить строки с действующим порядком заполнения, а не с предполагаемыми названиями строк исходника.</w:t>
      </w:r>
    </w:p>
    <w:p>
      <w:pPr>
        <w:keepNext/>
      </w:pPr>
      <w:r>
        <w:t>Озвучка. Проверим, какой документ подтверждает каждую сумму: поставку, исчисленный налог и обеспечительный платёж. Если условия базы не подтверждены, готовой суммы доплаты у нас нет.</w:t>
      </w:r>
    </w:p>
    <w:p>
      <w:r>
        <w:t>Контроль. Точные номера строк фиксируются после проверки доступной формы. Нельзя показывать автоматическую загрузку ДОПП там, где ее нет в релизе.</w:t>
      </w:r>
    </w:p>
    <w:p>
      <w:pPr>
        <w:pStyle w:val="Heading2"/>
      </w:pPr>
      <w:r>
        <w:t>6 Регистры налога на прибыль</w:t>
      </w:r>
    </w:p>
    <w:p>
      <w:pPr>
        <w:keepNext/>
      </w:pPr>
      <w:r>
        <w:t>На экране. За первое полугодие открыть доступные регистры налогового учета банковских комиссий и курсовых разниц. Расшифровать 3 000 рублей комиссии и 5 000 отрицательной разницы июня.</w:t>
      </w:r>
    </w:p>
    <w:p>
      <w:pPr>
        <w:keepNext/>
      </w:pPr>
      <w:r>
        <w:t>Озвучка. Проверяем налоговый учёт отдельно от НДС. По исходным условиям за полугодие рассматриваем три тысячи комиссии и пять тысяч курсовой разницы. Июльская комиссия в полугодие не входит.</w:t>
      </w:r>
    </w:p>
    <w:p>
      <w:r>
        <w:t>Контроль. Проверить признание расходов в НУ и настройки учетной политики. Номера регистров 1.10 и 1.01 из исходника не обещать без проверки интерфейса.</w:t>
      </w:r>
    </w:p>
    <w:p>
      <w:pPr>
        <w:pStyle w:val="Heading2"/>
      </w:pPr>
      <w:r>
        <w:t>7 Декларация по прибыли и завершение</w:t>
      </w:r>
    </w:p>
    <w:p>
      <w:pPr>
        <w:keepNext/>
      </w:pPr>
      <w:r>
        <w:t>На экране. Открыть черновик декларации за полугодие; показать расшифровку соответствующих строк, проверки и локальную выгрузку при доступности.</w:t>
      </w:r>
    </w:p>
    <w:p>
      <w:pPr>
        <w:keepNext/>
      </w:pPr>
      <w:r>
        <w:t>Озвучка. Итоговые строки должны подтверждаться регистрами. После проверки можно сохранить черновики. В этом учебном уроке отчётность в ФНС не отправляем.</w:t>
      </w:r>
    </w:p>
    <w:p>
      <w:r>
        <w:t>Контроль. Не обещать перенос суммы 8 000 одновременно в произвольные строки 040 и 200. Фактическая выгрузка не является квитанцией о приеме.</w:t>
      </w:r>
    </w:p>
    <w:p>
      <w:pPr>
        <w:pStyle w:val="Heading1"/>
      </w:pPr>
      <w:r>
        <w:t>Правовые опоры</w:t>
      </w:r>
    </w:p>
    <w:p>
      <w:r>
        <w:t>Приложение № 18 к Договору о ЕАЭС; НК РФ, статьи 171 и 172; приказ ФНС России от 08.05.2026 № КЧ-1-3/299@ и письмо от 22.06.2026 № СД-36-3/5284@. Условия признания расходов по налогу на прибыль подтверждаются отдельно, включая применяемые правила учета курсовых разниц.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/>
      <w:spacing w:after="100" w:line="252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