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EVIDENCIA DE APRENDIZAJE 3. PROCESO DE TRANSFORMACIÓN DE DATOS Y CARGA EN EL DATA MART FINAL</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Por</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Docente</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Materia</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INSTITUCIÓN UNIVERSITARIA DIGITAL DE ANTIOQUIA</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MEDELLÍN</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2024</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Introducción</w:t>
      </w:r>
    </w:p>
    <w:p>
      <w:pPr>
        <w:spacing w:before="0" w:after="0" w:line="276"/>
        <w:ind w:right="0" w:left="0" w:firstLine="0"/>
        <w:jc w:val="center"/>
        <w:rPr>
          <w:rFonts w:ascii="Arial" w:hAnsi="Arial" w:cs="Arial" w:eastAsia="Arial"/>
          <w:b/>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En la actualidad, la gestión eficiente de datos es clave para tomar decisiones estratégicas y alcanzar el éxito operativo. Dentro de este contexto, la creación de una base de datos staging resulta crucial, ya que garantiza la calidad, integridad y disponibilidad de los datos para su posterior análisis.</w:t>
      </w: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El proceso inicia con la revisión del modelo estrella utilizado en el proyecto, que define la estructura y relaciones entre las tablas de dimensiones y hechos. La base de datos staging funciona como un repositorio temporal, donde los datos extraídos se transforman y limpian antes de cargarse en el Data Mart final. Este procedimiento incluye consultas SQL que aseguran la consistencia de los datos, técnicas de transformación como limpieza y normalización, y su posterior carga en el Data Mart, verificando su correcta integración.</w:t>
      </w:r>
    </w:p>
    <w:p>
      <w:pPr>
        <w:spacing w:before="0" w:after="0" w:line="276"/>
        <w:ind w:right="0" w:left="0" w:firstLine="0"/>
        <w:jc w:val="left"/>
        <w:rPr>
          <w:rFonts w:ascii="Arial" w:hAnsi="Arial" w:cs="Arial" w:eastAsia="Arial"/>
          <w:b/>
          <w:color w:val="auto"/>
          <w:spacing w:val="0"/>
          <w:position w:val="0"/>
          <w:sz w:val="24"/>
          <w:shd w:fill="FFFFFF" w:val="clear"/>
        </w:rPr>
      </w:pPr>
    </w:p>
    <w:p>
      <w:pPr>
        <w:spacing w:before="0" w:after="0" w:line="276"/>
        <w:ind w:right="0" w:left="0" w:firstLine="0"/>
        <w:jc w:val="left"/>
        <w:rPr>
          <w:rFonts w:ascii="Arial" w:hAnsi="Arial" w:cs="Arial" w:eastAsia="Arial"/>
          <w:b/>
          <w:color w:val="auto"/>
          <w:spacing w:val="0"/>
          <w:position w:val="0"/>
          <w:sz w:val="24"/>
          <w:shd w:fill="FFFFFF" w:val="clear"/>
        </w:rPr>
      </w:pPr>
    </w:p>
    <w:p>
      <w:pPr>
        <w:spacing w:before="0" w:after="0" w:line="276"/>
        <w:ind w:right="0" w:left="0" w:firstLine="0"/>
        <w:jc w:val="left"/>
        <w:rPr>
          <w:rFonts w:ascii="Arial" w:hAnsi="Arial" w:cs="Arial" w:eastAsia="Arial"/>
          <w:b/>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Objetivos</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numPr>
          <w:ilvl w:val="0"/>
          <w:numId w:val="8"/>
        </w:numPr>
        <w:spacing w:before="0" w:after="0" w:line="276"/>
        <w:ind w:right="0" w:left="720" w:hanging="36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Implementar técnicas de transformación de datos (limpieza, normalización y enriquecimiento) en la base de datos staging para mejorar la calidad y adecuar los datos al modelo estrella.</w:t>
      </w:r>
    </w:p>
    <w:p>
      <w:pPr>
        <w:numPr>
          <w:ilvl w:val="0"/>
          <w:numId w:val="8"/>
        </w:numPr>
        <w:spacing w:before="0" w:after="0" w:line="276"/>
        <w:ind w:right="0" w:left="720" w:hanging="36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Diseñar y ejecutar scripts o consultas SQL que permitan la transferencia de datos transformados desde la base de datos staging al Data Mart final.</w:t>
      </w:r>
    </w:p>
    <w:p>
      <w:pPr>
        <w:numPr>
          <w:ilvl w:val="0"/>
          <w:numId w:val="8"/>
        </w:numPr>
        <w:spacing w:before="0" w:after="0" w:line="276"/>
        <w:ind w:right="0" w:left="720" w:hanging="36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Incluir información adicional relevante para el análisis, mediante la creación de nuevas tablas alineadas al modelo estrella.</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Planteamiento Del Problema</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El reto principal consiste en transformar y cargar datos de manera eficiente en el Data Mart, asegurando que estén listos para un análisis profundo. Estos datos, provenientes de diversas fuentes con estructuras y formatos distintos, necesitan ser transformados y enriquecidos para ajustarse a los requisitos del modelo estrella. Para ello, es esencial establecer un proceso ETL robusto que abarque la extracción, limpieza, normalización y transferencia de los datos hacia el Data Mart.</w:t>
      </w: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center"/>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Análisis Del Problema</w:t>
      </w: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Para llevar a cabo las transformaciones necesarias, se emplean consultas SQL y herramientas ETL. Las consultas SQL permiten realizar operaciones de limpieza y transformación directamente en la base de datos staging, mientras que las herramientas ETL automatizan y optimizan el proceso. Los principales desafíos incluyen garantizar la calidad y consistencia de los datos provenientes de distintas fuentes y manejar grandes volúmenes de información sin comprometer el rendimiento del sistema.</w:t>
      </w:r>
    </w:p>
    <w:p>
      <w:pPr>
        <w:spacing w:before="0" w:after="0" w:line="276"/>
        <w:ind w:right="0" w:left="0" w:firstLine="0"/>
        <w:jc w:val="both"/>
        <w:rPr>
          <w:rFonts w:ascii="Arial" w:hAnsi="Arial" w:cs="Arial" w:eastAsia="Arial"/>
          <w:color w:val="auto"/>
          <w:spacing w:val="0"/>
          <w:position w:val="0"/>
          <w:sz w:val="24"/>
          <w:shd w:fill="FFFFFF" w:val="clear"/>
        </w:rPr>
      </w:pPr>
    </w:p>
    <w:p>
      <w:pPr>
        <w:spacing w:before="0" w:after="0" w:line="276"/>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La transferencia de datos transformados al Data Mart se realiza mediante consultas o scripts SQL optimizados, asegurando una integración eficiente.</w:t>
      </w:r>
    </w:p>
    <w:p>
      <w:pPr>
        <w:spacing w:before="0" w:after="0" w:line="276"/>
        <w:ind w:right="0" w:left="0" w:firstLine="0"/>
        <w:jc w:val="both"/>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Propuesta de la solución con</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Modelo estrella - Jardinería corregido </w:t>
      </w:r>
    </w:p>
    <w:p>
      <w:pPr>
        <w:spacing w:before="0" w:after="0" w:line="276"/>
        <w:ind w:right="0" w:left="0" w:firstLine="0"/>
        <w:jc w:val="center"/>
        <w:rPr>
          <w:rFonts w:ascii="Arial" w:hAnsi="Arial" w:cs="Arial" w:eastAsia="Arial"/>
          <w:color w:val="auto"/>
          <w:spacing w:val="0"/>
          <w:position w:val="0"/>
          <w:sz w:val="24"/>
          <w:shd w:fill="auto" w:val="clear"/>
        </w:rPr>
      </w:pPr>
      <w:r>
        <w:object w:dxaOrig="6966" w:dyaOrig="5882">
          <v:rect xmlns:o="urn:schemas-microsoft-com:office:office" xmlns:v="urn:schemas-microsoft-com:vml" id="rectole0000000000" style="width:348.300000pt;height:294.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Transformación de datos según las necesidades analíticas:</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Para poder continuar a partir de este flujo de trabajo se hará uno por uno los demás flujos de trabajo encargados de la transformación de cada una de las seis dimensiones establecidas</w:t>
      </w:r>
      <w:r>
        <w:rPr>
          <w:rFonts w:ascii="Arial" w:hAnsi="Arial" w:cs="Arial" w:eastAsia="Arial"/>
          <w:b/>
          <w:color w:val="auto"/>
          <w:spacing w:val="0"/>
          <w:position w:val="0"/>
          <w:sz w:val="24"/>
          <w:shd w:fill="auto" w:val="clear"/>
        </w:rPr>
        <w:t xml:space="preserve">:</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object w:dxaOrig="8664" w:dyaOrig="4646">
          <v:rect xmlns:o="urn:schemas-microsoft-com:office:office" xmlns:v="urn:schemas-microsoft-com:vml" id="rectole0000000001" style="width:433.200000pt;height:232.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TransformacionProducto</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llama los datos que harán parte de la dimensión producto del data Mart.</w:t>
      </w: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r>
        <w:object w:dxaOrig="8664" w:dyaOrig="768">
          <v:rect xmlns:o="urn:schemas-microsoft-com:office:office" xmlns:v="urn:schemas-microsoft-com:vml" id="rectole0000000002" style="width:433.200000pt;height:38.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Los datos relacionados con los productos se ordenan, combinan y normalizan antes de insertarse en la tabla DimProducto, asegurando consistencia y actualización:</w:t>
      </w: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76"/>
        <w:ind w:right="0" w:left="0" w:firstLine="0"/>
        <w:jc w:val="both"/>
        <w:rPr>
          <w:rFonts w:ascii="Arial" w:hAnsi="Arial" w:cs="Arial" w:eastAsia="Arial"/>
          <w:b/>
          <w:color w:val="auto"/>
          <w:spacing w:val="0"/>
          <w:position w:val="0"/>
          <w:sz w:val="24"/>
          <w:shd w:fill="auto" w:val="clear"/>
        </w:rPr>
      </w:pPr>
      <w:r>
        <w:object w:dxaOrig="4500" w:dyaOrig="3844">
          <v:rect xmlns:o="urn:schemas-microsoft-com:office:office" xmlns:v="urn:schemas-microsoft-com:vml" id="rectole0000000003" style="width:225.000000pt;height:19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TransformacionEmpleado</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llama cada uno de los datos que harán parte de la dimensión producto del data Mart.</w:t>
      </w:r>
    </w:p>
    <w:p>
      <w:pPr>
        <w:spacing w:before="0" w:after="0" w:line="276"/>
        <w:ind w:right="0" w:left="0" w:firstLine="0"/>
        <w:jc w:val="both"/>
        <w:rPr>
          <w:rFonts w:ascii="Arial" w:hAnsi="Arial" w:cs="Arial" w:eastAsia="Arial"/>
          <w:b/>
          <w:color w:val="auto"/>
          <w:spacing w:val="0"/>
          <w:position w:val="0"/>
          <w:sz w:val="24"/>
          <w:shd w:fill="auto" w:val="clear"/>
        </w:rPr>
      </w:pPr>
      <w:r>
        <w:object w:dxaOrig="8664" w:dyaOrig="556">
          <v:rect xmlns:o="urn:schemas-microsoft-com:office:office" xmlns:v="urn:schemas-microsoft-com:vml" id="rectole0000000004" style="width:433.200000pt;height:27.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 instrucción SQL forma parte del flujo de trabajo de la dimensión en ADO.NET OrigenTbEmpleadoST. En este proceso, los registros se organizan según el ID de empleado, se integran con OrigenDimEmpleado y, finalmente, DestinoDimEmpleado genera la tabla DimEmpleado con los datos ya ordenados, actualizados y con las asignaciones establecidas, garantizando así la consistencia y la correcta actualización de la información en la base de datos:</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object w:dxaOrig="4651" w:dyaOrig="3974">
          <v:rect xmlns:o="urn:schemas-microsoft-com:office:office" xmlns:v="urn:schemas-microsoft-com:vml" id="rectole0000000005" style="width:232.550000pt;height:198.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TransformacionCliente</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Se llama cada uno de los datos que harán parte de la dimensión producto del data Mart.</w:t>
      </w:r>
    </w:p>
    <w:p>
      <w:pPr>
        <w:spacing w:before="0" w:after="0" w:line="276"/>
        <w:ind w:right="0" w:left="0" w:firstLine="0"/>
        <w:jc w:val="both"/>
        <w:rPr>
          <w:rFonts w:ascii="Arial" w:hAnsi="Arial" w:cs="Arial" w:eastAsia="Arial"/>
          <w:b/>
          <w:color w:val="auto"/>
          <w:spacing w:val="0"/>
          <w:position w:val="0"/>
          <w:sz w:val="24"/>
          <w:shd w:fill="auto" w:val="clear"/>
        </w:rPr>
      </w:pPr>
      <w:r>
        <w:object w:dxaOrig="8664" w:dyaOrig="844">
          <v:rect xmlns:o="urn:schemas-microsoft-com:office:office" xmlns:v="urn:schemas-microsoft-com:vml" id="rectole0000000006" style="width:433.200000pt;height:42.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 instrucción SQL se integra en el flujo de trabajo de la dimensión en ADO.NET OrigenTbClienteST, donde los datos son extraídos de la tabla TbCliente. La consulta recupera información detallada sobre los clientes, que luego se combina con OrigenDimCliente y se inserta en DestinoDimCliente. Los registros resultantes se organizan y actualizan, garantizando que la información de los clientes sea completa y consistente en la base de datos: </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object w:dxaOrig="4600" w:dyaOrig="3828">
          <v:rect xmlns:o="urn:schemas-microsoft-com:office:office" xmlns:v="urn:schemas-microsoft-com:vml" id="rectole0000000007" style="width:230.000000pt;height:191.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TransformaciónLugar</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continuación, se procede a obtener todos los datos correspondientes a la dimensión Lugar en el Data Mart, los cuales incluyen los campos: id_lugar, país, región, ciudad y linea_direccion1.</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object w:dxaOrig="9374" w:dyaOrig="540">
          <v:rect xmlns:o="urn:schemas-microsoft-com:office:office" xmlns:v="urn:schemas-microsoft-com:vml" id="rectole0000000008" style="width:468.700000pt;height:27.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instrucción se incorpora al flujo de trabajo de la dimensión OrigenTbLugarSt, donde los registros se organizan por ID de lugar y se combinan con OrigenDimLugar. En la consulta, se utiliza la cláusula AS para renombrar la columna linea_direccion1 como dirección, lo que significa que los datos extraídos de linea_direccion1 aparecerán etiquetados como dirección en los resultados.</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object w:dxaOrig="4485" w:dyaOrig="4173">
          <v:rect xmlns:o="urn:schemas-microsoft-com:office:office" xmlns:v="urn:schemas-microsoft-com:vml" id="rectole0000000009" style="width:224.250000pt;height:208.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center"/>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TransformaciónTiempo</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object w:dxaOrig="3362" w:dyaOrig="3212">
          <v:rect xmlns:o="urn:schemas-microsoft-com:office:office" xmlns:v="urn:schemas-microsoft-com:vml" id="rectole0000000010" style="width:168.100000pt;height:160.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TransformacionPedido</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llama cada uno de los datos que harán parte de la dimensión producto escogido como Fact del data Mart.</w:t>
      </w:r>
    </w:p>
    <w:p>
      <w:pPr>
        <w:spacing w:before="0" w:after="0" w:line="276"/>
        <w:ind w:right="0" w:left="0" w:firstLine="0"/>
        <w:jc w:val="both"/>
        <w:rPr>
          <w:rFonts w:ascii="Arial" w:hAnsi="Arial" w:cs="Arial" w:eastAsia="Arial"/>
          <w:color w:val="auto"/>
          <w:spacing w:val="0"/>
          <w:position w:val="0"/>
          <w:sz w:val="24"/>
          <w:shd w:fill="auto" w:val="clear"/>
        </w:rPr>
      </w:pPr>
      <w:r>
        <w:object w:dxaOrig="8664" w:dyaOrig="1363">
          <v:rect xmlns:o="urn:schemas-microsoft-com:office:office" xmlns:v="urn:schemas-microsoft-com:vml" id="rectole0000000011" style="width:433.200000pt;height:68.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 instrucción SQL recupera información detallada de los pedidos, fusionando datos provenientes de varias tablas relacionadas. Las uniones se realizan mediante INNER JOIN utilizando campos comunes como los identificadores de pedido, cliente, producto, tiempo, empleado, oficina y lugar. Esto permite construir una vista integral de cada pedido, incluyendo detalles como la cantidad, precio unitario, método de pago, total y estado del pedido, garantizando una integración completa y precisa de la información en el sistema:</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object w:dxaOrig="3425" w:dyaOrig="3016">
          <v:rect xmlns:o="urn:schemas-microsoft-com:office:office" xmlns:v="urn:schemas-microsoft-com:vml" id="rectole0000000012" style="width:171.250000pt;height:150.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Carga de registros en el Data Mart final:</w: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Datos transformados en la dimensión Producto:</w:t>
      </w:r>
    </w:p>
    <w:p>
      <w:pPr>
        <w:spacing w:before="0" w:after="0" w:line="276"/>
        <w:ind w:right="0" w:left="0" w:firstLine="0"/>
        <w:jc w:val="both"/>
        <w:rPr>
          <w:rFonts w:ascii="Arial" w:hAnsi="Arial" w:cs="Arial" w:eastAsia="Arial"/>
          <w:b/>
          <w:color w:val="auto"/>
          <w:spacing w:val="0"/>
          <w:position w:val="0"/>
          <w:sz w:val="24"/>
          <w:shd w:fill="auto" w:val="clear"/>
        </w:rPr>
      </w:pPr>
      <w:r>
        <w:object w:dxaOrig="8664" w:dyaOrig="4665">
          <v:rect xmlns:o="urn:schemas-microsoft-com:office:office" xmlns:v="urn:schemas-microsoft-com:vml" id="rectole0000000013" style="width:433.200000pt;height:233.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Datos transformados en la dimensión Empleado:</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object w:dxaOrig="6965" w:dyaOrig="6228">
          <v:rect xmlns:o="urn:schemas-microsoft-com:office:office" xmlns:v="urn:schemas-microsoft-com:vml" id="rectole0000000014" style="width:348.250000pt;height:311.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Datos transformados en la dimensión Cliente:</w:t>
      </w:r>
    </w:p>
    <w:p>
      <w:pPr>
        <w:spacing w:before="0" w:after="0" w:line="276"/>
        <w:ind w:right="0" w:left="0" w:firstLine="0"/>
        <w:jc w:val="left"/>
        <w:rPr>
          <w:rFonts w:ascii="Arial" w:hAnsi="Arial" w:cs="Arial" w:eastAsia="Arial"/>
          <w:b/>
          <w:color w:val="auto"/>
          <w:spacing w:val="0"/>
          <w:position w:val="0"/>
          <w:sz w:val="24"/>
          <w:shd w:fill="auto" w:val="clear"/>
        </w:rPr>
      </w:pPr>
      <w:r>
        <w:object w:dxaOrig="7016" w:dyaOrig="4627">
          <v:rect xmlns:o="urn:schemas-microsoft-com:office:office" xmlns:v="urn:schemas-microsoft-com:vml" id="rectole0000000015" style="width:350.800000pt;height:231.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Datos transformados en la dimensión Lugar:</w:t>
      </w:r>
    </w:p>
    <w:p>
      <w:pPr>
        <w:spacing w:before="0" w:after="0" w:line="276"/>
        <w:ind w:right="0" w:left="0" w:firstLine="0"/>
        <w:jc w:val="left"/>
        <w:rPr>
          <w:rFonts w:ascii="Arial" w:hAnsi="Arial" w:cs="Arial" w:eastAsia="Arial"/>
          <w:b/>
          <w:color w:val="auto"/>
          <w:spacing w:val="0"/>
          <w:position w:val="0"/>
          <w:sz w:val="24"/>
          <w:shd w:fill="auto" w:val="clear"/>
        </w:rPr>
      </w:pPr>
      <w:r>
        <w:object w:dxaOrig="5846" w:dyaOrig="1598">
          <v:rect xmlns:o="urn:schemas-microsoft-com:office:office" xmlns:v="urn:schemas-microsoft-com:vml" id="rectole0000000016" style="width:292.300000pt;height:79.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5846" w:dyaOrig="2651">
          <v:rect xmlns:o="urn:schemas-microsoft-com:office:office" xmlns:v="urn:schemas-microsoft-com:vml" id="rectole0000000017" style="width:292.300000pt;height:132.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Datos transformados en la dimensión Tiempo:</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object w:dxaOrig="6487" w:dyaOrig="2014">
          <v:rect xmlns:o="urn:schemas-microsoft-com:office:office" xmlns:v="urn:schemas-microsoft-com:vml" id="rectole0000000018" style="width:324.350000pt;height:100.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Datos transformados en la dimensión Pedido:</w:t>
      </w:r>
    </w:p>
    <w:p>
      <w:pPr>
        <w:spacing w:before="0" w:after="0" w:line="276"/>
        <w:ind w:right="0" w:left="0" w:firstLine="0"/>
        <w:jc w:val="left"/>
        <w:rPr>
          <w:rFonts w:ascii="Arial" w:hAnsi="Arial" w:cs="Arial" w:eastAsia="Arial"/>
          <w:b/>
          <w:color w:val="auto"/>
          <w:spacing w:val="0"/>
          <w:position w:val="0"/>
          <w:sz w:val="24"/>
          <w:shd w:fill="auto" w:val="clear"/>
        </w:rPr>
      </w:pPr>
      <w:r>
        <w:object w:dxaOrig="7149" w:dyaOrig="5877">
          <v:rect xmlns:o="urn:schemas-microsoft-com:office:office" xmlns:v="urn:schemas-microsoft-com:vml" id="rectole0000000019" style="width:357.450000pt;height:293.8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Conclusiones</w:t>
      </w:r>
    </w:p>
    <w:p>
      <w:pPr>
        <w:spacing w:before="0" w:after="0" w:line="276"/>
        <w:ind w:right="0" w:left="720" w:firstLine="0"/>
        <w:jc w:val="both"/>
        <w:rPr>
          <w:rFonts w:ascii="Arial" w:hAnsi="Arial" w:cs="Arial" w:eastAsia="Arial"/>
          <w:b/>
          <w:color w:val="auto"/>
          <w:spacing w:val="0"/>
          <w:position w:val="0"/>
          <w:sz w:val="24"/>
          <w:shd w:fill="auto" w:val="clear"/>
        </w:rPr>
      </w:pPr>
    </w:p>
    <w:p>
      <w:pPr>
        <w:numPr>
          <w:ilvl w:val="0"/>
          <w:numId w:val="42"/>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proceso de construcción de una base de datos staging y su integración en el Data Mart es esencial en la gestión de datos. Este trabajo abarca desde la revisión del modelo estrella hasta la carga de datos transformados en el Data Mart, enfrentando retos como garantizar la calidad y consistencia de los datos, así como optimizar los procesos ETL para manejar grandes volúmenes de información.</w:t>
        <w:br/>
      </w:r>
    </w:p>
    <w:p>
      <w:pPr>
        <w:numPr>
          <w:ilvl w:val="0"/>
          <w:numId w:val="42"/>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implementación exitosa de este proceso establece una base sólida para análisis detallados y futuros proyectos, elevando los estándares en la gestión de datos.</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num w:numId="8">
    <w:abstractNumId w:val="7"/>
  </w:num>
  <w:num w:numId="42">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